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E29" w:rsidRPr="007937AE" w:rsidRDefault="00681E29" w:rsidP="007937AE">
      <w:pPr>
        <w:tabs>
          <w:tab w:val="left" w:pos="3240"/>
        </w:tabs>
        <w:spacing w:line="360" w:lineRule="auto"/>
        <w:jc w:val="center"/>
        <w:rPr>
          <w:b/>
          <w:bCs/>
          <w:color w:val="000000"/>
          <w:lang w:val="en-US"/>
        </w:rPr>
      </w:pPr>
      <w:bookmarkStart w:id="0" w:name="_GoBack"/>
      <w:bookmarkEnd w:id="0"/>
      <w:r w:rsidRPr="007937AE">
        <w:rPr>
          <w:b/>
          <w:bCs/>
          <w:color w:val="000000"/>
          <w:lang w:val="en-US"/>
        </w:rPr>
        <w:t xml:space="preserve">Online Appendix for the following </w:t>
      </w:r>
      <w:r w:rsidRPr="007937AE">
        <w:rPr>
          <w:b/>
          <w:bCs/>
          <w:i/>
          <w:iCs/>
          <w:color w:val="000000"/>
          <w:lang w:val="en-US"/>
        </w:rPr>
        <w:t>JACC</w:t>
      </w:r>
      <w:r w:rsidRPr="007937AE">
        <w:rPr>
          <w:b/>
          <w:bCs/>
          <w:color w:val="000000"/>
          <w:lang w:val="en-US"/>
        </w:rPr>
        <w:t xml:space="preserve"> article</w:t>
      </w:r>
    </w:p>
    <w:p w:rsidR="00681E29" w:rsidRPr="007937AE" w:rsidRDefault="00681E29" w:rsidP="007937AE">
      <w:pPr>
        <w:spacing w:line="360" w:lineRule="auto"/>
        <w:jc w:val="both"/>
        <w:rPr>
          <w:b/>
          <w:bCs/>
          <w:color w:val="000000"/>
          <w:lang w:val="en-US"/>
        </w:rPr>
      </w:pPr>
    </w:p>
    <w:p w:rsidR="00681E29" w:rsidRPr="007937AE" w:rsidRDefault="00681E29" w:rsidP="007937AE">
      <w:pPr>
        <w:tabs>
          <w:tab w:val="left" w:pos="720"/>
          <w:tab w:val="left" w:pos="9000"/>
        </w:tabs>
        <w:spacing w:line="480" w:lineRule="auto"/>
        <w:rPr>
          <w:lang w:val="en-US"/>
        </w:rPr>
      </w:pPr>
      <w:r w:rsidRPr="007937AE">
        <w:rPr>
          <w:b/>
          <w:bCs/>
          <w:lang w:val="en-US"/>
        </w:rPr>
        <w:t xml:space="preserve">TITLE: </w:t>
      </w:r>
      <w:r w:rsidRPr="007937AE">
        <w:rPr>
          <w:lang w:val="en-US"/>
        </w:rPr>
        <w:t>Adolescence Risk Factors Are Predictive of Coronary Artery Calcification at Middle Age: The Cardiovascular Risk in Young Finns Study</w:t>
      </w: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r w:rsidRPr="007937AE">
        <w:rPr>
          <w:b/>
          <w:lang w:val="en-US"/>
        </w:rPr>
        <w:t xml:space="preserve">AUTHORS: </w:t>
      </w:r>
      <w:r w:rsidRPr="007937AE">
        <w:rPr>
          <w:lang w:val="en-US"/>
        </w:rPr>
        <w:t xml:space="preserve">Olli </w:t>
      </w:r>
      <w:proofErr w:type="spellStart"/>
      <w:r w:rsidRPr="007937AE">
        <w:rPr>
          <w:lang w:val="en-US"/>
        </w:rPr>
        <w:t>Hartiala</w:t>
      </w:r>
      <w:proofErr w:type="spellEnd"/>
      <w:r w:rsidRPr="007937AE">
        <w:rPr>
          <w:lang w:val="en-US"/>
        </w:rPr>
        <w:t xml:space="preserve">, BM, </w:t>
      </w:r>
      <w:proofErr w:type="spellStart"/>
      <w:r w:rsidRPr="007937AE">
        <w:rPr>
          <w:lang w:val="en-US"/>
        </w:rPr>
        <w:t>Costan</w:t>
      </w:r>
      <w:proofErr w:type="spellEnd"/>
      <w:r w:rsidRPr="007937AE">
        <w:rPr>
          <w:lang w:val="en-US"/>
        </w:rPr>
        <w:t xml:space="preserve"> G. </w:t>
      </w:r>
      <w:proofErr w:type="spellStart"/>
      <w:r w:rsidRPr="007937AE">
        <w:rPr>
          <w:lang w:val="en-US"/>
        </w:rPr>
        <w:t>Magnussen</w:t>
      </w:r>
      <w:proofErr w:type="spellEnd"/>
      <w:r w:rsidRPr="007937AE">
        <w:rPr>
          <w:lang w:val="en-US"/>
        </w:rPr>
        <w:t>, P</w:t>
      </w:r>
      <w:r w:rsidRPr="007937AE">
        <w:rPr>
          <w:smallCaps/>
          <w:lang w:val="en-US"/>
        </w:rPr>
        <w:t>h</w:t>
      </w:r>
      <w:r w:rsidRPr="007937AE">
        <w:rPr>
          <w:lang w:val="en-US"/>
        </w:rPr>
        <w:t xml:space="preserve">D, Sami </w:t>
      </w:r>
      <w:proofErr w:type="spellStart"/>
      <w:r w:rsidRPr="007937AE">
        <w:rPr>
          <w:lang w:val="en-US"/>
        </w:rPr>
        <w:t>Kajander</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Juhani</w:t>
      </w:r>
      <w:proofErr w:type="spellEnd"/>
      <w:r w:rsidRPr="007937AE">
        <w:rPr>
          <w:lang w:val="en-US"/>
        </w:rPr>
        <w:t xml:space="preserve"> </w:t>
      </w:r>
      <w:proofErr w:type="spellStart"/>
      <w:r w:rsidRPr="007937AE">
        <w:rPr>
          <w:lang w:val="en-US"/>
        </w:rPr>
        <w:t>Knuuti</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Heikki</w:t>
      </w:r>
      <w:proofErr w:type="spellEnd"/>
      <w:r w:rsidRPr="007937AE">
        <w:rPr>
          <w:lang w:val="en-US"/>
        </w:rPr>
        <w:t xml:space="preserve"> </w:t>
      </w:r>
      <w:proofErr w:type="spellStart"/>
      <w:r w:rsidRPr="007937AE">
        <w:rPr>
          <w:lang w:val="en-US"/>
        </w:rPr>
        <w:t>Ukkonen</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Antti</w:t>
      </w:r>
      <w:proofErr w:type="spellEnd"/>
      <w:r w:rsidRPr="007937AE">
        <w:rPr>
          <w:lang w:val="en-US"/>
        </w:rPr>
        <w:t xml:space="preserve"> </w:t>
      </w:r>
      <w:proofErr w:type="spellStart"/>
      <w:r w:rsidRPr="007937AE">
        <w:rPr>
          <w:lang w:val="en-US"/>
        </w:rPr>
        <w:t>Saraste</w:t>
      </w:r>
      <w:proofErr w:type="spellEnd"/>
      <w:r w:rsidRPr="007937AE">
        <w:rPr>
          <w:lang w:val="en-US"/>
        </w:rPr>
        <w:t>, MD, P</w:t>
      </w:r>
      <w:r w:rsidRPr="007937AE">
        <w:rPr>
          <w:smallCaps/>
          <w:lang w:val="en-US"/>
        </w:rPr>
        <w:t>h</w:t>
      </w:r>
      <w:r w:rsidRPr="007937AE">
        <w:rPr>
          <w:lang w:val="en-US"/>
        </w:rPr>
        <w:t xml:space="preserve">D, Irina </w:t>
      </w:r>
      <w:proofErr w:type="spellStart"/>
      <w:r w:rsidRPr="007937AE">
        <w:rPr>
          <w:lang w:val="en-US"/>
        </w:rPr>
        <w:t>Rinta-Kiikka</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Sakari</w:t>
      </w:r>
      <w:proofErr w:type="spellEnd"/>
      <w:r w:rsidRPr="007937AE">
        <w:rPr>
          <w:lang w:val="en-US"/>
        </w:rPr>
        <w:t xml:space="preserve"> </w:t>
      </w:r>
      <w:proofErr w:type="spellStart"/>
      <w:r w:rsidRPr="007937AE">
        <w:rPr>
          <w:lang w:val="en-US"/>
        </w:rPr>
        <w:t>Kainulainen</w:t>
      </w:r>
      <w:proofErr w:type="spellEnd"/>
      <w:r w:rsidRPr="007937AE">
        <w:rPr>
          <w:lang w:val="en-US"/>
        </w:rPr>
        <w:t xml:space="preserve">, MD, Mika </w:t>
      </w:r>
      <w:proofErr w:type="spellStart"/>
      <w:r w:rsidRPr="007937AE">
        <w:rPr>
          <w:lang w:val="en-US"/>
        </w:rPr>
        <w:t>Kähönen</w:t>
      </w:r>
      <w:proofErr w:type="spellEnd"/>
      <w:r w:rsidRPr="007937AE">
        <w:rPr>
          <w:lang w:val="en-US"/>
        </w:rPr>
        <w:t>, MD, P</w:t>
      </w:r>
      <w:r w:rsidRPr="007937AE">
        <w:rPr>
          <w:smallCaps/>
          <w:lang w:val="en-US"/>
        </w:rPr>
        <w:t>h</w:t>
      </w:r>
      <w:r w:rsidRPr="007937AE">
        <w:rPr>
          <w:lang w:val="en-US"/>
        </w:rPr>
        <w:t xml:space="preserve">D, Nina </w:t>
      </w:r>
      <w:proofErr w:type="spellStart"/>
      <w:r w:rsidRPr="007937AE">
        <w:rPr>
          <w:lang w:val="en-US"/>
        </w:rPr>
        <w:t>Hutri-Kähönen</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Tomi</w:t>
      </w:r>
      <w:proofErr w:type="spellEnd"/>
      <w:r w:rsidRPr="007937AE">
        <w:rPr>
          <w:lang w:val="en-US"/>
        </w:rPr>
        <w:t xml:space="preserve"> </w:t>
      </w:r>
      <w:proofErr w:type="spellStart"/>
      <w:r w:rsidRPr="007937AE">
        <w:rPr>
          <w:lang w:val="en-US"/>
        </w:rPr>
        <w:t>Laitinen</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Terho</w:t>
      </w:r>
      <w:proofErr w:type="spellEnd"/>
      <w:r w:rsidRPr="007937AE">
        <w:rPr>
          <w:lang w:val="en-US"/>
        </w:rPr>
        <w:t xml:space="preserve"> </w:t>
      </w:r>
      <w:proofErr w:type="spellStart"/>
      <w:r w:rsidRPr="007937AE">
        <w:rPr>
          <w:lang w:val="en-US"/>
        </w:rPr>
        <w:t>Lehtimäki</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Jorma</w:t>
      </w:r>
      <w:proofErr w:type="spellEnd"/>
      <w:r w:rsidRPr="007937AE">
        <w:rPr>
          <w:lang w:val="en-US"/>
        </w:rPr>
        <w:t xml:space="preserve"> S.A. </w:t>
      </w:r>
      <w:proofErr w:type="spellStart"/>
      <w:r w:rsidRPr="007937AE">
        <w:rPr>
          <w:lang w:val="en-US"/>
        </w:rPr>
        <w:t>Viikari</w:t>
      </w:r>
      <w:proofErr w:type="spellEnd"/>
      <w:r w:rsidRPr="007937AE">
        <w:rPr>
          <w:lang w:val="en-US"/>
        </w:rPr>
        <w:t>, MD, P</w:t>
      </w:r>
      <w:r w:rsidRPr="007937AE">
        <w:rPr>
          <w:smallCaps/>
          <w:lang w:val="en-US"/>
        </w:rPr>
        <w:t>h</w:t>
      </w:r>
      <w:r w:rsidRPr="007937AE">
        <w:rPr>
          <w:lang w:val="en-US"/>
        </w:rPr>
        <w:t xml:space="preserve">D, </w:t>
      </w:r>
      <w:proofErr w:type="spellStart"/>
      <w:r w:rsidRPr="007937AE">
        <w:rPr>
          <w:lang w:val="en-US"/>
        </w:rPr>
        <w:t>Jaakko</w:t>
      </w:r>
      <w:proofErr w:type="spellEnd"/>
      <w:r w:rsidRPr="007937AE">
        <w:rPr>
          <w:lang w:val="en-US"/>
        </w:rPr>
        <w:t xml:space="preserve"> </w:t>
      </w:r>
      <w:proofErr w:type="spellStart"/>
      <w:r w:rsidRPr="007937AE">
        <w:rPr>
          <w:lang w:val="en-US"/>
        </w:rPr>
        <w:t>Hartiala</w:t>
      </w:r>
      <w:proofErr w:type="spellEnd"/>
      <w:r w:rsidRPr="007937AE">
        <w:rPr>
          <w:lang w:val="en-US"/>
        </w:rPr>
        <w:t>, MD, P</w:t>
      </w:r>
      <w:r w:rsidRPr="007937AE">
        <w:rPr>
          <w:smallCaps/>
          <w:lang w:val="en-US"/>
        </w:rPr>
        <w:t>h</w:t>
      </w:r>
      <w:r w:rsidRPr="007937AE">
        <w:rPr>
          <w:lang w:val="en-US"/>
        </w:rPr>
        <w:t xml:space="preserve">D, Markus </w:t>
      </w:r>
      <w:proofErr w:type="spellStart"/>
      <w:r w:rsidRPr="007937AE">
        <w:rPr>
          <w:lang w:val="en-US"/>
        </w:rPr>
        <w:t>Juonala</w:t>
      </w:r>
      <w:proofErr w:type="spellEnd"/>
      <w:r w:rsidRPr="007937AE">
        <w:rPr>
          <w:lang w:val="en-US"/>
        </w:rPr>
        <w:t>, MD, P</w:t>
      </w:r>
      <w:r w:rsidRPr="007937AE">
        <w:rPr>
          <w:smallCaps/>
          <w:lang w:val="en-US"/>
        </w:rPr>
        <w:t>h</w:t>
      </w:r>
      <w:r w:rsidRPr="007937AE">
        <w:rPr>
          <w:lang w:val="en-US"/>
        </w:rPr>
        <w:t xml:space="preserve">D, Olli T. </w:t>
      </w:r>
      <w:proofErr w:type="spellStart"/>
      <w:r w:rsidRPr="007937AE">
        <w:rPr>
          <w:lang w:val="en-US"/>
        </w:rPr>
        <w:t>Raitakari</w:t>
      </w:r>
      <w:proofErr w:type="spellEnd"/>
      <w:r w:rsidRPr="007937AE">
        <w:rPr>
          <w:lang w:val="en-US"/>
        </w:rPr>
        <w:t>, MD, P</w:t>
      </w:r>
      <w:r w:rsidRPr="007937AE">
        <w:rPr>
          <w:smallCaps/>
          <w:lang w:val="en-US"/>
        </w:rPr>
        <w:t>h</w:t>
      </w:r>
      <w:r w:rsidRPr="007937AE">
        <w:rPr>
          <w:lang w:val="en-US"/>
        </w:rPr>
        <w:t>D</w:t>
      </w: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roofErr w:type="gramStart"/>
      <w:r w:rsidRPr="007937AE">
        <w:rPr>
          <w:b/>
          <w:lang w:val="en-US"/>
        </w:rPr>
        <w:t>Supplementary Table 1.</w:t>
      </w:r>
      <w:proofErr w:type="gramEnd"/>
      <w:r w:rsidRPr="007937AE">
        <w:rPr>
          <w:lang w:val="en-US"/>
        </w:rPr>
        <w:t xml:space="preserve"> A comparison (mean ± SD) between those subjects who took part in the CAC measurements (N=569) and those who did not (N=142) from the three oldest cohorts at age 39-45</w:t>
      </w: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lang w:val="en-US"/>
        </w:rPr>
      </w:pPr>
    </w:p>
    <w:p w:rsidR="00681E29" w:rsidRPr="007937AE" w:rsidRDefault="00681E29" w:rsidP="007937AE">
      <w:pPr>
        <w:tabs>
          <w:tab w:val="left" w:pos="720"/>
          <w:tab w:val="left" w:pos="9000"/>
        </w:tabs>
        <w:spacing w:line="480" w:lineRule="auto"/>
        <w:rPr>
          <w:b/>
          <w:lang w:val="en-US"/>
        </w:rPr>
      </w:pPr>
    </w:p>
    <w:p w:rsidR="00681E29" w:rsidRPr="007937AE" w:rsidRDefault="00681E29" w:rsidP="007937AE">
      <w:pPr>
        <w:tabs>
          <w:tab w:val="left" w:pos="720"/>
          <w:tab w:val="left" w:pos="9000"/>
        </w:tabs>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b/>
          <w:lang w:val="en-US"/>
        </w:rPr>
      </w:pPr>
    </w:p>
    <w:p w:rsidR="00681E29" w:rsidRPr="007937AE" w:rsidRDefault="00681E29" w:rsidP="008F4079">
      <w:pPr>
        <w:spacing w:line="480" w:lineRule="auto"/>
        <w:rPr>
          <w:lang w:val="en-US"/>
        </w:rPr>
      </w:pPr>
    </w:p>
    <w:tbl>
      <w:tblPr>
        <w:tblpPr w:leftFromText="141" w:rightFromText="141" w:vertAnchor="page" w:horzAnchor="margin" w:tblpY="3398"/>
        <w:tblW w:w="6300" w:type="dxa"/>
        <w:tblLayout w:type="fixed"/>
        <w:tblCellMar>
          <w:left w:w="70" w:type="dxa"/>
          <w:right w:w="70" w:type="dxa"/>
        </w:tblCellMar>
        <w:tblLook w:val="0000"/>
      </w:tblPr>
      <w:tblGrid>
        <w:gridCol w:w="2520"/>
        <w:gridCol w:w="1388"/>
        <w:gridCol w:w="1389"/>
        <w:gridCol w:w="1003"/>
      </w:tblGrid>
      <w:tr w:rsidR="00681E29" w:rsidRPr="007937AE" w:rsidTr="00A2156D">
        <w:trPr>
          <w:trHeight w:val="900"/>
        </w:trPr>
        <w:tc>
          <w:tcPr>
            <w:tcW w:w="2520" w:type="dxa"/>
            <w:tcBorders>
              <w:top w:val="single" w:sz="4" w:space="0" w:color="auto"/>
              <w:bottom w:val="single" w:sz="4" w:space="0" w:color="auto"/>
            </w:tcBorders>
          </w:tcPr>
          <w:p w:rsidR="00681E29" w:rsidRPr="007937AE" w:rsidRDefault="00681E29" w:rsidP="00A2156D">
            <w:pPr>
              <w:spacing w:line="480" w:lineRule="auto"/>
              <w:rPr>
                <w:lang w:val="en-US"/>
              </w:rPr>
            </w:pPr>
          </w:p>
        </w:tc>
        <w:tc>
          <w:tcPr>
            <w:tcW w:w="1388" w:type="dxa"/>
            <w:tcBorders>
              <w:top w:val="single" w:sz="4" w:space="0" w:color="auto"/>
              <w:bottom w:val="single" w:sz="4" w:space="0" w:color="auto"/>
            </w:tcBorders>
          </w:tcPr>
          <w:p w:rsidR="00681E29" w:rsidRPr="007937AE" w:rsidRDefault="00681E29" w:rsidP="00A2156D">
            <w:pPr>
              <w:spacing w:line="480" w:lineRule="auto"/>
              <w:rPr>
                <w:lang w:val="en-US"/>
              </w:rPr>
            </w:pPr>
            <w:r w:rsidRPr="007937AE">
              <w:rPr>
                <w:lang w:val="en-US"/>
              </w:rPr>
              <w:t>Participants</w:t>
            </w:r>
          </w:p>
          <w:p w:rsidR="00681E29" w:rsidRPr="007937AE" w:rsidRDefault="00681E29" w:rsidP="00A2156D">
            <w:pPr>
              <w:spacing w:line="480" w:lineRule="auto"/>
              <w:jc w:val="center"/>
              <w:rPr>
                <w:lang w:val="en-US"/>
              </w:rPr>
            </w:pPr>
            <w:r w:rsidRPr="007937AE">
              <w:rPr>
                <w:lang w:val="en-US"/>
              </w:rPr>
              <w:t>(n=569)</w:t>
            </w:r>
          </w:p>
        </w:tc>
        <w:tc>
          <w:tcPr>
            <w:tcW w:w="1389" w:type="dxa"/>
            <w:tcBorders>
              <w:top w:val="single" w:sz="4" w:space="0" w:color="auto"/>
              <w:bottom w:val="single" w:sz="4" w:space="0" w:color="auto"/>
            </w:tcBorders>
          </w:tcPr>
          <w:p w:rsidR="00681E29" w:rsidRPr="007937AE" w:rsidRDefault="00681E29" w:rsidP="00A2156D">
            <w:pPr>
              <w:spacing w:line="480" w:lineRule="auto"/>
              <w:jc w:val="center"/>
              <w:rPr>
                <w:lang w:val="en-US"/>
              </w:rPr>
            </w:pPr>
            <w:r w:rsidRPr="007937AE">
              <w:rPr>
                <w:lang w:val="en-US"/>
              </w:rPr>
              <w:t>Non-participants</w:t>
            </w:r>
          </w:p>
          <w:p w:rsidR="00681E29" w:rsidRPr="007937AE" w:rsidRDefault="00681E29" w:rsidP="00A2156D">
            <w:pPr>
              <w:spacing w:line="480" w:lineRule="auto"/>
              <w:jc w:val="center"/>
              <w:rPr>
                <w:lang w:val="en-US"/>
              </w:rPr>
            </w:pPr>
            <w:r w:rsidRPr="007937AE">
              <w:rPr>
                <w:lang w:val="en-US"/>
              </w:rPr>
              <w:t>(n=142)</w:t>
            </w:r>
          </w:p>
        </w:tc>
        <w:tc>
          <w:tcPr>
            <w:tcW w:w="1003" w:type="dxa"/>
            <w:tcBorders>
              <w:top w:val="single" w:sz="4" w:space="0" w:color="auto"/>
              <w:bottom w:val="single" w:sz="4" w:space="0" w:color="auto"/>
            </w:tcBorders>
          </w:tcPr>
          <w:p w:rsidR="00681E29" w:rsidRPr="007937AE" w:rsidRDefault="00681E29" w:rsidP="00A2156D">
            <w:pPr>
              <w:rPr>
                <w:lang w:val="en-US"/>
              </w:rPr>
            </w:pP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Risk factor</w:t>
            </w:r>
          </w:p>
        </w:tc>
        <w:tc>
          <w:tcPr>
            <w:tcW w:w="1388" w:type="dxa"/>
          </w:tcPr>
          <w:p w:rsidR="00681E29" w:rsidRPr="007937AE" w:rsidRDefault="00681E29" w:rsidP="00A2156D">
            <w:pPr>
              <w:rPr>
                <w:lang w:val="en-US"/>
              </w:rPr>
            </w:pPr>
          </w:p>
        </w:tc>
        <w:tc>
          <w:tcPr>
            <w:tcW w:w="1389" w:type="dxa"/>
          </w:tcPr>
          <w:p w:rsidR="00681E29" w:rsidRPr="007937AE" w:rsidRDefault="00681E29" w:rsidP="00A2156D">
            <w:pPr>
              <w:rPr>
                <w:lang w:val="en-US"/>
              </w:rPr>
            </w:pPr>
          </w:p>
        </w:tc>
        <w:tc>
          <w:tcPr>
            <w:tcW w:w="1003" w:type="dxa"/>
          </w:tcPr>
          <w:p w:rsidR="00681E29" w:rsidRPr="007937AE" w:rsidRDefault="00681E29" w:rsidP="00A2156D">
            <w:pPr>
              <w:jc w:val="center"/>
              <w:rPr>
                <w:lang w:val="en-US"/>
              </w:rPr>
            </w:pPr>
            <w:r w:rsidRPr="007937AE">
              <w:rPr>
                <w:lang w:val="en-US"/>
              </w:rPr>
              <w:t>p-value*</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Male gender (%)</w:t>
            </w:r>
          </w:p>
        </w:tc>
        <w:tc>
          <w:tcPr>
            <w:tcW w:w="1388" w:type="dxa"/>
          </w:tcPr>
          <w:p w:rsidR="00681E29" w:rsidRPr="007937AE" w:rsidRDefault="00681E29" w:rsidP="00A2156D">
            <w:pPr>
              <w:spacing w:line="480" w:lineRule="auto"/>
              <w:rPr>
                <w:lang w:val="en-US"/>
              </w:rPr>
            </w:pPr>
            <w:r w:rsidRPr="007937AE">
              <w:rPr>
                <w:lang w:val="en-US"/>
              </w:rPr>
              <w:t>43.4</w:t>
            </w:r>
          </w:p>
        </w:tc>
        <w:tc>
          <w:tcPr>
            <w:tcW w:w="1389" w:type="dxa"/>
          </w:tcPr>
          <w:p w:rsidR="00681E29" w:rsidRPr="007937AE" w:rsidRDefault="00681E29" w:rsidP="00A2156D">
            <w:pPr>
              <w:spacing w:line="480" w:lineRule="auto"/>
              <w:rPr>
                <w:lang w:val="en-US"/>
              </w:rPr>
            </w:pPr>
            <w:r w:rsidRPr="007937AE">
              <w:rPr>
                <w:lang w:val="en-US"/>
              </w:rPr>
              <w:t>39.7</w:t>
            </w:r>
          </w:p>
        </w:tc>
        <w:tc>
          <w:tcPr>
            <w:tcW w:w="1003" w:type="dxa"/>
          </w:tcPr>
          <w:p w:rsidR="00681E29" w:rsidRPr="007937AE" w:rsidRDefault="00681E29" w:rsidP="00A2156D">
            <w:pPr>
              <w:spacing w:line="480" w:lineRule="auto"/>
              <w:rPr>
                <w:lang w:val="en-US"/>
              </w:rPr>
            </w:pPr>
            <w:r w:rsidRPr="007937AE">
              <w:rPr>
                <w:lang w:val="en-US"/>
              </w:rPr>
              <w:t>0.42</w:t>
            </w:r>
          </w:p>
        </w:tc>
      </w:tr>
      <w:tr w:rsidR="00681E29" w:rsidRPr="007937AE" w:rsidTr="00A2156D">
        <w:trPr>
          <w:trHeight w:val="900"/>
        </w:trPr>
        <w:tc>
          <w:tcPr>
            <w:tcW w:w="2520" w:type="dxa"/>
          </w:tcPr>
          <w:p w:rsidR="00681E29" w:rsidRPr="007937AE" w:rsidRDefault="00681E29" w:rsidP="00A2156D">
            <w:pPr>
              <w:spacing w:line="480" w:lineRule="auto"/>
              <w:rPr>
                <w:lang w:val="en-US"/>
              </w:rPr>
            </w:pPr>
            <w:proofErr w:type="spellStart"/>
            <w:r w:rsidRPr="007937AE">
              <w:rPr>
                <w:lang w:val="en-US"/>
              </w:rPr>
              <w:t>Age,y</w:t>
            </w:r>
            <w:proofErr w:type="spellEnd"/>
          </w:p>
        </w:tc>
        <w:tc>
          <w:tcPr>
            <w:tcW w:w="1388" w:type="dxa"/>
          </w:tcPr>
          <w:p w:rsidR="00681E29" w:rsidRPr="007937AE" w:rsidRDefault="00681E29" w:rsidP="00A2156D">
            <w:pPr>
              <w:rPr>
                <w:lang w:val="en-US"/>
              </w:rPr>
            </w:pPr>
            <w:r w:rsidRPr="007937AE">
              <w:rPr>
                <w:lang w:val="en-US"/>
              </w:rPr>
              <w:t>41.8 ± 2.4</w:t>
            </w:r>
          </w:p>
        </w:tc>
        <w:tc>
          <w:tcPr>
            <w:tcW w:w="1389" w:type="dxa"/>
          </w:tcPr>
          <w:p w:rsidR="00681E29" w:rsidRPr="007937AE" w:rsidRDefault="00681E29" w:rsidP="00A2156D">
            <w:pPr>
              <w:rPr>
                <w:lang w:val="en-US"/>
              </w:rPr>
            </w:pPr>
            <w:r w:rsidRPr="007937AE">
              <w:rPr>
                <w:lang w:val="en-US"/>
              </w:rPr>
              <w:t>42.2 ± 2.5</w:t>
            </w:r>
          </w:p>
        </w:tc>
        <w:tc>
          <w:tcPr>
            <w:tcW w:w="1003" w:type="dxa"/>
          </w:tcPr>
          <w:p w:rsidR="00681E29" w:rsidRPr="007937AE" w:rsidRDefault="00681E29" w:rsidP="00A2156D">
            <w:pPr>
              <w:rPr>
                <w:lang w:val="en-US"/>
              </w:rPr>
            </w:pPr>
            <w:r w:rsidRPr="007937AE">
              <w:rPr>
                <w:lang w:val="en-US"/>
              </w:rPr>
              <w:t>0.24</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Systolic BP,  mm Hg</w:t>
            </w:r>
          </w:p>
        </w:tc>
        <w:tc>
          <w:tcPr>
            <w:tcW w:w="1388" w:type="dxa"/>
          </w:tcPr>
          <w:p w:rsidR="00681E29" w:rsidRPr="007937AE" w:rsidRDefault="00681E29" w:rsidP="00A2156D">
            <w:pPr>
              <w:rPr>
                <w:lang w:val="en-US"/>
              </w:rPr>
            </w:pPr>
            <w:r w:rsidRPr="007937AE">
              <w:rPr>
                <w:lang w:val="en-US"/>
              </w:rPr>
              <w:t>123.3 ± 15.8</w:t>
            </w:r>
          </w:p>
        </w:tc>
        <w:tc>
          <w:tcPr>
            <w:tcW w:w="1389" w:type="dxa"/>
          </w:tcPr>
          <w:p w:rsidR="00681E29" w:rsidRPr="007937AE" w:rsidRDefault="00681E29" w:rsidP="00A2156D">
            <w:pPr>
              <w:rPr>
                <w:lang w:val="en-US"/>
              </w:rPr>
            </w:pPr>
            <w:r w:rsidRPr="007937AE">
              <w:rPr>
                <w:lang w:val="en-US"/>
              </w:rPr>
              <w:t>122.8 ± 15.4</w:t>
            </w:r>
          </w:p>
        </w:tc>
        <w:tc>
          <w:tcPr>
            <w:tcW w:w="1003" w:type="dxa"/>
          </w:tcPr>
          <w:p w:rsidR="00681E29" w:rsidRPr="007937AE" w:rsidRDefault="00681E29" w:rsidP="00A2156D">
            <w:pPr>
              <w:rPr>
                <w:lang w:val="en-US"/>
              </w:rPr>
            </w:pPr>
            <w:r w:rsidRPr="007937AE">
              <w:rPr>
                <w:lang w:val="en-US"/>
              </w:rPr>
              <w:t>0.81</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 xml:space="preserve">Total cholesterol,  </w:t>
            </w:r>
            <w:proofErr w:type="spellStart"/>
            <w:r w:rsidRPr="007937AE">
              <w:rPr>
                <w:lang w:val="en-US"/>
              </w:rPr>
              <w:t>mmol</w:t>
            </w:r>
            <w:proofErr w:type="spellEnd"/>
            <w:r w:rsidRPr="007937AE">
              <w:rPr>
                <w:lang w:val="en-US"/>
              </w:rPr>
              <w:t>/l†</w:t>
            </w:r>
          </w:p>
        </w:tc>
        <w:tc>
          <w:tcPr>
            <w:tcW w:w="1388" w:type="dxa"/>
          </w:tcPr>
          <w:p w:rsidR="00681E29" w:rsidRPr="007937AE" w:rsidRDefault="00681E29" w:rsidP="00A2156D">
            <w:pPr>
              <w:rPr>
                <w:lang w:val="en-US"/>
              </w:rPr>
            </w:pPr>
            <w:r w:rsidRPr="007937AE">
              <w:rPr>
                <w:lang w:val="en-US"/>
              </w:rPr>
              <w:t>5.20 ± 0.96</w:t>
            </w:r>
          </w:p>
        </w:tc>
        <w:tc>
          <w:tcPr>
            <w:tcW w:w="1389" w:type="dxa"/>
          </w:tcPr>
          <w:p w:rsidR="00681E29" w:rsidRPr="007937AE" w:rsidRDefault="00681E29" w:rsidP="00A2156D">
            <w:pPr>
              <w:rPr>
                <w:lang w:val="en-US"/>
              </w:rPr>
            </w:pPr>
            <w:r w:rsidRPr="007937AE">
              <w:rPr>
                <w:lang w:val="en-US"/>
              </w:rPr>
              <w:t>5.15 ± 0.84</w:t>
            </w:r>
          </w:p>
        </w:tc>
        <w:tc>
          <w:tcPr>
            <w:tcW w:w="1003" w:type="dxa"/>
          </w:tcPr>
          <w:p w:rsidR="00681E29" w:rsidRPr="007937AE" w:rsidRDefault="00681E29" w:rsidP="00A2156D">
            <w:pPr>
              <w:rPr>
                <w:lang w:val="en-US"/>
              </w:rPr>
            </w:pPr>
            <w:r w:rsidRPr="007937AE">
              <w:rPr>
                <w:lang w:val="en-US"/>
              </w:rPr>
              <w:t>0.61</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 xml:space="preserve">LDL-C,  </w:t>
            </w:r>
            <w:proofErr w:type="spellStart"/>
            <w:r w:rsidRPr="007937AE">
              <w:rPr>
                <w:lang w:val="en-US"/>
              </w:rPr>
              <w:t>mmol</w:t>
            </w:r>
            <w:proofErr w:type="spellEnd"/>
            <w:r w:rsidRPr="007937AE">
              <w:rPr>
                <w:lang w:val="en-US"/>
              </w:rPr>
              <w:t>/l</w:t>
            </w:r>
          </w:p>
        </w:tc>
        <w:tc>
          <w:tcPr>
            <w:tcW w:w="1388" w:type="dxa"/>
          </w:tcPr>
          <w:p w:rsidR="00681E29" w:rsidRPr="007937AE" w:rsidRDefault="00681E29" w:rsidP="00A2156D">
            <w:pPr>
              <w:rPr>
                <w:lang w:val="en-US"/>
              </w:rPr>
            </w:pPr>
            <w:r w:rsidRPr="007937AE">
              <w:rPr>
                <w:lang w:val="en-US"/>
              </w:rPr>
              <w:t>3.22 ± 0.84</w:t>
            </w:r>
          </w:p>
        </w:tc>
        <w:tc>
          <w:tcPr>
            <w:tcW w:w="1389" w:type="dxa"/>
          </w:tcPr>
          <w:p w:rsidR="00681E29" w:rsidRPr="007937AE" w:rsidRDefault="00681E29" w:rsidP="00A2156D">
            <w:pPr>
              <w:rPr>
                <w:lang w:val="en-US"/>
              </w:rPr>
            </w:pPr>
            <w:r w:rsidRPr="007937AE">
              <w:rPr>
                <w:lang w:val="en-US"/>
              </w:rPr>
              <w:t>3.20 ± 0.76</w:t>
            </w:r>
          </w:p>
        </w:tc>
        <w:tc>
          <w:tcPr>
            <w:tcW w:w="1003" w:type="dxa"/>
          </w:tcPr>
          <w:p w:rsidR="00681E29" w:rsidRPr="007937AE" w:rsidRDefault="00681E29" w:rsidP="00A2156D">
            <w:pPr>
              <w:rPr>
                <w:lang w:val="en-US"/>
              </w:rPr>
            </w:pPr>
            <w:r w:rsidRPr="007937AE">
              <w:rPr>
                <w:lang w:val="en-US"/>
              </w:rPr>
              <w:t>0.85</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 xml:space="preserve">HDL-C,  </w:t>
            </w:r>
            <w:proofErr w:type="spellStart"/>
            <w:r w:rsidRPr="007937AE">
              <w:rPr>
                <w:lang w:val="en-US"/>
              </w:rPr>
              <w:t>mmol</w:t>
            </w:r>
            <w:proofErr w:type="spellEnd"/>
            <w:r w:rsidRPr="007937AE">
              <w:rPr>
                <w:lang w:val="en-US"/>
              </w:rPr>
              <w:t>/l</w:t>
            </w:r>
          </w:p>
        </w:tc>
        <w:tc>
          <w:tcPr>
            <w:tcW w:w="1388" w:type="dxa"/>
          </w:tcPr>
          <w:p w:rsidR="00681E29" w:rsidRPr="007937AE" w:rsidRDefault="00681E29" w:rsidP="00A2156D">
            <w:pPr>
              <w:rPr>
                <w:lang w:val="en-US"/>
              </w:rPr>
            </w:pPr>
            <w:r w:rsidRPr="007937AE">
              <w:rPr>
                <w:lang w:val="en-US"/>
              </w:rPr>
              <w:t>1.33 ± 0.32</w:t>
            </w:r>
          </w:p>
        </w:tc>
        <w:tc>
          <w:tcPr>
            <w:tcW w:w="1389" w:type="dxa"/>
          </w:tcPr>
          <w:p w:rsidR="00681E29" w:rsidRPr="007937AE" w:rsidRDefault="00681E29" w:rsidP="00A2156D">
            <w:pPr>
              <w:rPr>
                <w:lang w:val="en-US"/>
              </w:rPr>
            </w:pPr>
            <w:r w:rsidRPr="007937AE">
              <w:rPr>
                <w:lang w:val="en-US"/>
              </w:rPr>
              <w:t>1.37 ± 0.32</w:t>
            </w:r>
          </w:p>
        </w:tc>
        <w:tc>
          <w:tcPr>
            <w:tcW w:w="1003" w:type="dxa"/>
          </w:tcPr>
          <w:p w:rsidR="00681E29" w:rsidRPr="007937AE" w:rsidRDefault="00681E29" w:rsidP="00A2156D">
            <w:pPr>
              <w:rPr>
                <w:lang w:val="en-US"/>
              </w:rPr>
            </w:pPr>
            <w:r w:rsidRPr="007937AE">
              <w:rPr>
                <w:lang w:val="en-US"/>
              </w:rPr>
              <w:t>0.26</w:t>
            </w:r>
          </w:p>
        </w:tc>
      </w:tr>
      <w:tr w:rsidR="00681E29" w:rsidRPr="007937AE" w:rsidTr="00A2156D">
        <w:trPr>
          <w:trHeight w:val="900"/>
        </w:trPr>
        <w:tc>
          <w:tcPr>
            <w:tcW w:w="2520" w:type="dxa"/>
          </w:tcPr>
          <w:p w:rsidR="00681E29" w:rsidRPr="007937AE" w:rsidRDefault="00681E29" w:rsidP="00A2156D">
            <w:pPr>
              <w:spacing w:line="480" w:lineRule="auto"/>
              <w:rPr>
                <w:lang w:val="en-US"/>
              </w:rPr>
            </w:pPr>
            <w:r w:rsidRPr="007937AE">
              <w:rPr>
                <w:lang w:val="en-US"/>
              </w:rPr>
              <w:t>BMI, kg/m</w:t>
            </w:r>
            <w:r w:rsidRPr="007937AE">
              <w:rPr>
                <w:vertAlign w:val="superscript"/>
                <w:lang w:val="en-US"/>
              </w:rPr>
              <w:t>2</w:t>
            </w:r>
          </w:p>
        </w:tc>
        <w:tc>
          <w:tcPr>
            <w:tcW w:w="1388" w:type="dxa"/>
          </w:tcPr>
          <w:p w:rsidR="00681E29" w:rsidRPr="007937AE" w:rsidRDefault="00681E29" w:rsidP="00A2156D">
            <w:pPr>
              <w:rPr>
                <w:lang w:val="en-US"/>
              </w:rPr>
            </w:pPr>
            <w:r w:rsidRPr="007937AE">
              <w:rPr>
                <w:lang w:val="en-US"/>
              </w:rPr>
              <w:t>26.9 ± 5.0</w:t>
            </w:r>
          </w:p>
        </w:tc>
        <w:tc>
          <w:tcPr>
            <w:tcW w:w="1389" w:type="dxa"/>
          </w:tcPr>
          <w:p w:rsidR="00681E29" w:rsidRPr="007937AE" w:rsidRDefault="00681E29" w:rsidP="00A2156D">
            <w:pPr>
              <w:rPr>
                <w:lang w:val="en-US"/>
              </w:rPr>
            </w:pPr>
            <w:r w:rsidRPr="007937AE">
              <w:rPr>
                <w:lang w:val="en-US"/>
              </w:rPr>
              <w:t>26.3 ± 5.6</w:t>
            </w:r>
          </w:p>
        </w:tc>
        <w:tc>
          <w:tcPr>
            <w:tcW w:w="1003" w:type="dxa"/>
          </w:tcPr>
          <w:p w:rsidR="00681E29" w:rsidRPr="007937AE" w:rsidRDefault="00681E29" w:rsidP="00A2156D">
            <w:pPr>
              <w:rPr>
                <w:lang w:val="en-US"/>
              </w:rPr>
            </w:pPr>
            <w:r w:rsidRPr="007937AE">
              <w:rPr>
                <w:lang w:val="en-US"/>
              </w:rPr>
              <w:t>0.27</w:t>
            </w:r>
          </w:p>
        </w:tc>
      </w:tr>
      <w:tr w:rsidR="00681E29" w:rsidRPr="007937AE" w:rsidTr="00A2156D">
        <w:trPr>
          <w:trHeight w:val="900"/>
        </w:trPr>
        <w:tc>
          <w:tcPr>
            <w:tcW w:w="2520" w:type="dxa"/>
            <w:tcBorders>
              <w:bottom w:val="single" w:sz="4" w:space="0" w:color="auto"/>
            </w:tcBorders>
          </w:tcPr>
          <w:p w:rsidR="00681E29" w:rsidRPr="007937AE" w:rsidRDefault="00681E29" w:rsidP="00A2156D">
            <w:pPr>
              <w:spacing w:line="480" w:lineRule="auto"/>
              <w:rPr>
                <w:lang w:val="en-US"/>
              </w:rPr>
            </w:pPr>
            <w:r w:rsidRPr="007937AE">
              <w:rPr>
                <w:lang w:val="en-US"/>
              </w:rPr>
              <w:t>Smoking (%)</w:t>
            </w:r>
          </w:p>
        </w:tc>
        <w:tc>
          <w:tcPr>
            <w:tcW w:w="1388" w:type="dxa"/>
            <w:tcBorders>
              <w:bottom w:val="single" w:sz="4" w:space="0" w:color="auto"/>
            </w:tcBorders>
          </w:tcPr>
          <w:p w:rsidR="00681E29" w:rsidRPr="007937AE" w:rsidRDefault="00681E29" w:rsidP="00A2156D">
            <w:pPr>
              <w:rPr>
                <w:lang w:val="en-US"/>
              </w:rPr>
            </w:pPr>
            <w:r w:rsidRPr="007937AE">
              <w:rPr>
                <w:lang w:val="en-US"/>
              </w:rPr>
              <w:t>16.6</w:t>
            </w:r>
          </w:p>
        </w:tc>
        <w:tc>
          <w:tcPr>
            <w:tcW w:w="1389" w:type="dxa"/>
            <w:tcBorders>
              <w:bottom w:val="single" w:sz="4" w:space="0" w:color="auto"/>
            </w:tcBorders>
          </w:tcPr>
          <w:p w:rsidR="00681E29" w:rsidRPr="007937AE" w:rsidRDefault="00681E29" w:rsidP="00A2156D">
            <w:pPr>
              <w:rPr>
                <w:lang w:val="en-US"/>
              </w:rPr>
            </w:pPr>
            <w:r w:rsidRPr="007937AE">
              <w:rPr>
                <w:lang w:val="en-US"/>
              </w:rPr>
              <w:t>20.0</w:t>
            </w:r>
          </w:p>
        </w:tc>
        <w:tc>
          <w:tcPr>
            <w:tcW w:w="1003" w:type="dxa"/>
            <w:tcBorders>
              <w:bottom w:val="single" w:sz="4" w:space="0" w:color="auto"/>
            </w:tcBorders>
          </w:tcPr>
          <w:p w:rsidR="00681E29" w:rsidRPr="007937AE" w:rsidRDefault="00681E29" w:rsidP="00A2156D">
            <w:pPr>
              <w:rPr>
                <w:lang w:val="en-US"/>
              </w:rPr>
            </w:pPr>
            <w:r w:rsidRPr="007937AE">
              <w:rPr>
                <w:lang w:val="en-US"/>
              </w:rPr>
              <w:t>0.38</w:t>
            </w:r>
          </w:p>
        </w:tc>
      </w:tr>
    </w:tbl>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r w:rsidRPr="007937AE">
        <w:rPr>
          <w:lang w:val="en-US"/>
        </w:rPr>
        <w:t xml:space="preserve">Abbreviations: CAC=coronary artery calcium; BP=blood pressure; LDL-C=low-density lipoprotein cholesterol; HDL-C=high-density lipoprotein cholesterol; BMI=body mass index </w:t>
      </w:r>
    </w:p>
    <w:p w:rsidR="00681E29" w:rsidRPr="007937AE" w:rsidRDefault="00681E29" w:rsidP="008F4079">
      <w:pPr>
        <w:rPr>
          <w:lang w:val="en-US"/>
        </w:rPr>
      </w:pPr>
      <w:r w:rsidRPr="007937AE">
        <w:rPr>
          <w:lang w:val="en-US"/>
        </w:rPr>
        <w:t xml:space="preserve">† 1 </w:t>
      </w:r>
      <w:proofErr w:type="spellStart"/>
      <w:r w:rsidRPr="007937AE">
        <w:rPr>
          <w:lang w:val="en-US"/>
        </w:rPr>
        <w:t>mmol</w:t>
      </w:r>
      <w:proofErr w:type="spellEnd"/>
      <w:r w:rsidRPr="007937AE">
        <w:rPr>
          <w:lang w:val="en-US"/>
        </w:rPr>
        <w:t>/l= 38.66976 mg/dl</w:t>
      </w:r>
    </w:p>
    <w:p w:rsidR="00681E29" w:rsidRPr="007937AE" w:rsidRDefault="00681E29" w:rsidP="008F4079">
      <w:pPr>
        <w:spacing w:line="480" w:lineRule="auto"/>
        <w:rPr>
          <w:lang w:val="en-US"/>
        </w:rPr>
      </w:pPr>
      <w:r w:rsidRPr="007937AE">
        <w:rPr>
          <w:lang w:val="en-US"/>
        </w:rPr>
        <w:br w:type="page"/>
      </w:r>
      <w:proofErr w:type="gramStart"/>
      <w:r w:rsidRPr="007937AE">
        <w:rPr>
          <w:b/>
          <w:lang w:val="en-US"/>
        </w:rPr>
        <w:lastRenderedPageBreak/>
        <w:t>Supplementary table 2.</w:t>
      </w:r>
      <w:proofErr w:type="gramEnd"/>
      <w:r w:rsidRPr="007937AE">
        <w:rPr>
          <w:lang w:val="en-US"/>
        </w:rPr>
        <w:t xml:space="preserve"> </w:t>
      </w:r>
      <w:proofErr w:type="gramStart"/>
      <w:r w:rsidRPr="007937AE">
        <w:rPr>
          <w:lang w:val="en-US"/>
        </w:rPr>
        <w:t>Regional calcium scores in 113 subjects with prevalent calcium (total sore &gt;0).</w:t>
      </w:r>
      <w:proofErr w:type="gramEnd"/>
    </w:p>
    <w:p w:rsidR="00681E29" w:rsidRPr="007937AE" w:rsidRDefault="00681E29" w:rsidP="008F4079">
      <w:pPr>
        <w:rPr>
          <w:lang w:val="en-US"/>
        </w:rPr>
      </w:pPr>
    </w:p>
    <w:p w:rsidR="00681E29" w:rsidRPr="007937AE" w:rsidRDefault="00681E29" w:rsidP="008F4079">
      <w:pPr>
        <w:rPr>
          <w:lang w:val="en-US"/>
        </w:rPr>
      </w:pPr>
    </w:p>
    <w:tbl>
      <w:tblPr>
        <w:tblpPr w:leftFromText="141" w:rightFromText="141" w:vertAnchor="page" w:horzAnchor="margin" w:tblpY="26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275"/>
        <w:gridCol w:w="1276"/>
        <w:gridCol w:w="1276"/>
        <w:gridCol w:w="1276"/>
        <w:gridCol w:w="1276"/>
        <w:gridCol w:w="1134"/>
      </w:tblGrid>
      <w:tr w:rsidR="00681E29" w:rsidRPr="007937AE" w:rsidTr="00A2156D">
        <w:tc>
          <w:tcPr>
            <w:tcW w:w="1668" w:type="dxa"/>
            <w:tcBorders>
              <w:left w:val="nil"/>
              <w:right w:val="nil"/>
            </w:tcBorders>
          </w:tcPr>
          <w:p w:rsidR="00681E29" w:rsidRPr="007937AE" w:rsidRDefault="00681E29" w:rsidP="00A2156D">
            <w:pPr>
              <w:rPr>
                <w:lang w:val="en-US"/>
              </w:rPr>
            </w:pPr>
          </w:p>
        </w:tc>
        <w:tc>
          <w:tcPr>
            <w:tcW w:w="1275" w:type="dxa"/>
            <w:tcBorders>
              <w:left w:val="nil"/>
              <w:right w:val="nil"/>
            </w:tcBorders>
          </w:tcPr>
          <w:p w:rsidR="00681E29" w:rsidRPr="007937AE" w:rsidRDefault="00681E29" w:rsidP="00A2156D">
            <w:pPr>
              <w:jc w:val="center"/>
              <w:rPr>
                <w:lang w:val="en-US"/>
              </w:rPr>
            </w:pPr>
            <w:r w:rsidRPr="007937AE">
              <w:rPr>
                <w:lang w:val="en-US"/>
              </w:rPr>
              <w:t>Mean</w:t>
            </w:r>
          </w:p>
        </w:tc>
        <w:tc>
          <w:tcPr>
            <w:tcW w:w="1276" w:type="dxa"/>
            <w:tcBorders>
              <w:left w:val="nil"/>
              <w:right w:val="nil"/>
            </w:tcBorders>
          </w:tcPr>
          <w:p w:rsidR="00681E29" w:rsidRPr="007937AE" w:rsidRDefault="00681E29" w:rsidP="00A2156D">
            <w:pPr>
              <w:jc w:val="center"/>
              <w:rPr>
                <w:lang w:val="en-US"/>
              </w:rPr>
            </w:pPr>
            <w:r w:rsidRPr="007937AE">
              <w:rPr>
                <w:lang w:val="en-US"/>
              </w:rPr>
              <w:t>SD</w:t>
            </w:r>
          </w:p>
        </w:tc>
        <w:tc>
          <w:tcPr>
            <w:tcW w:w="1276" w:type="dxa"/>
            <w:tcBorders>
              <w:left w:val="nil"/>
              <w:right w:val="nil"/>
            </w:tcBorders>
          </w:tcPr>
          <w:p w:rsidR="00681E29" w:rsidRPr="007937AE" w:rsidRDefault="00681E29" w:rsidP="00A2156D">
            <w:pPr>
              <w:jc w:val="center"/>
              <w:rPr>
                <w:lang w:val="en-US"/>
              </w:rPr>
            </w:pPr>
            <w:r w:rsidRPr="007937AE">
              <w:rPr>
                <w:lang w:val="en-US"/>
              </w:rPr>
              <w:t>Median</w:t>
            </w:r>
          </w:p>
        </w:tc>
        <w:tc>
          <w:tcPr>
            <w:tcW w:w="1276" w:type="dxa"/>
            <w:tcBorders>
              <w:left w:val="nil"/>
              <w:right w:val="nil"/>
            </w:tcBorders>
          </w:tcPr>
          <w:p w:rsidR="00681E29" w:rsidRPr="007937AE" w:rsidRDefault="00681E29" w:rsidP="00A2156D">
            <w:pPr>
              <w:jc w:val="center"/>
              <w:rPr>
                <w:lang w:val="en-US"/>
              </w:rPr>
            </w:pPr>
            <w:r w:rsidRPr="007937AE">
              <w:rPr>
                <w:lang w:val="en-US"/>
              </w:rPr>
              <w:t>75th percentile</w:t>
            </w:r>
          </w:p>
        </w:tc>
        <w:tc>
          <w:tcPr>
            <w:tcW w:w="1276" w:type="dxa"/>
            <w:tcBorders>
              <w:left w:val="nil"/>
              <w:right w:val="nil"/>
            </w:tcBorders>
          </w:tcPr>
          <w:p w:rsidR="00681E29" w:rsidRPr="007937AE" w:rsidRDefault="00681E29" w:rsidP="00A2156D">
            <w:pPr>
              <w:jc w:val="center"/>
              <w:rPr>
                <w:lang w:val="en-US"/>
              </w:rPr>
            </w:pPr>
            <w:r w:rsidRPr="007937AE">
              <w:rPr>
                <w:lang w:val="en-US"/>
              </w:rPr>
              <w:t>95</w:t>
            </w:r>
            <w:r w:rsidRPr="007937AE">
              <w:rPr>
                <w:vertAlign w:val="superscript"/>
                <w:lang w:val="en-US"/>
              </w:rPr>
              <w:t>th</w:t>
            </w:r>
            <w:r w:rsidRPr="007937AE">
              <w:rPr>
                <w:lang w:val="en-US"/>
              </w:rPr>
              <w:t xml:space="preserve"> percentile</w:t>
            </w:r>
          </w:p>
        </w:tc>
        <w:tc>
          <w:tcPr>
            <w:tcW w:w="1134" w:type="dxa"/>
            <w:tcBorders>
              <w:left w:val="nil"/>
              <w:right w:val="nil"/>
            </w:tcBorders>
          </w:tcPr>
          <w:p w:rsidR="00681E29" w:rsidRPr="007937AE" w:rsidRDefault="00681E29" w:rsidP="00A2156D">
            <w:pPr>
              <w:jc w:val="center"/>
              <w:rPr>
                <w:lang w:val="en-US"/>
              </w:rPr>
            </w:pPr>
            <w:r w:rsidRPr="007937AE">
              <w:rPr>
                <w:lang w:val="en-US"/>
              </w:rPr>
              <w:t>Range</w:t>
            </w:r>
          </w:p>
        </w:tc>
      </w:tr>
      <w:tr w:rsidR="00681E29" w:rsidRPr="007937AE" w:rsidTr="00A2156D">
        <w:tc>
          <w:tcPr>
            <w:tcW w:w="1668" w:type="dxa"/>
            <w:tcBorders>
              <w:left w:val="nil"/>
              <w:bottom w:val="nil"/>
              <w:right w:val="nil"/>
            </w:tcBorders>
          </w:tcPr>
          <w:p w:rsidR="00681E29" w:rsidRPr="007937AE" w:rsidRDefault="00681E29" w:rsidP="00A2156D">
            <w:pPr>
              <w:rPr>
                <w:lang w:val="en-US"/>
              </w:rPr>
            </w:pPr>
            <w:r w:rsidRPr="007937AE">
              <w:rPr>
                <w:lang w:val="en-US"/>
              </w:rPr>
              <w:t>Total score</w:t>
            </w:r>
          </w:p>
        </w:tc>
        <w:tc>
          <w:tcPr>
            <w:tcW w:w="1275" w:type="dxa"/>
            <w:tcBorders>
              <w:left w:val="nil"/>
              <w:bottom w:val="nil"/>
              <w:right w:val="nil"/>
            </w:tcBorders>
          </w:tcPr>
          <w:p w:rsidR="00681E29" w:rsidRPr="007937AE" w:rsidRDefault="00681E29" w:rsidP="00A2156D">
            <w:pPr>
              <w:jc w:val="center"/>
              <w:rPr>
                <w:lang w:val="en-US"/>
              </w:rPr>
            </w:pPr>
            <w:r w:rsidRPr="007937AE">
              <w:rPr>
                <w:lang w:val="en-US"/>
              </w:rPr>
              <w:t>50.1</w:t>
            </w:r>
          </w:p>
        </w:tc>
        <w:tc>
          <w:tcPr>
            <w:tcW w:w="1276" w:type="dxa"/>
            <w:tcBorders>
              <w:left w:val="nil"/>
              <w:bottom w:val="nil"/>
              <w:right w:val="nil"/>
            </w:tcBorders>
          </w:tcPr>
          <w:p w:rsidR="00681E29" w:rsidRPr="007937AE" w:rsidRDefault="00681E29" w:rsidP="00A2156D">
            <w:pPr>
              <w:jc w:val="center"/>
              <w:rPr>
                <w:lang w:val="en-US"/>
              </w:rPr>
            </w:pPr>
            <w:r w:rsidRPr="007937AE">
              <w:rPr>
                <w:lang w:val="en-US"/>
              </w:rPr>
              <w:t>106.5</w:t>
            </w:r>
          </w:p>
        </w:tc>
        <w:tc>
          <w:tcPr>
            <w:tcW w:w="1276" w:type="dxa"/>
            <w:tcBorders>
              <w:left w:val="nil"/>
              <w:bottom w:val="nil"/>
              <w:right w:val="nil"/>
            </w:tcBorders>
          </w:tcPr>
          <w:p w:rsidR="00681E29" w:rsidRPr="007937AE" w:rsidRDefault="00681E29" w:rsidP="00A2156D">
            <w:pPr>
              <w:jc w:val="center"/>
              <w:rPr>
                <w:lang w:val="en-US"/>
              </w:rPr>
            </w:pPr>
            <w:r w:rsidRPr="007937AE">
              <w:rPr>
                <w:lang w:val="en-US"/>
              </w:rPr>
              <w:t>7</w:t>
            </w:r>
          </w:p>
        </w:tc>
        <w:tc>
          <w:tcPr>
            <w:tcW w:w="1276" w:type="dxa"/>
            <w:tcBorders>
              <w:left w:val="nil"/>
              <w:bottom w:val="nil"/>
              <w:right w:val="nil"/>
            </w:tcBorders>
          </w:tcPr>
          <w:p w:rsidR="00681E29" w:rsidRPr="007937AE" w:rsidRDefault="00681E29" w:rsidP="00A2156D">
            <w:pPr>
              <w:jc w:val="center"/>
              <w:rPr>
                <w:lang w:val="en-US"/>
              </w:rPr>
            </w:pPr>
            <w:r w:rsidRPr="007937AE">
              <w:rPr>
                <w:lang w:val="en-US"/>
              </w:rPr>
              <w:t>29</w:t>
            </w:r>
          </w:p>
        </w:tc>
        <w:tc>
          <w:tcPr>
            <w:tcW w:w="1276" w:type="dxa"/>
            <w:tcBorders>
              <w:left w:val="nil"/>
              <w:bottom w:val="nil"/>
              <w:right w:val="nil"/>
            </w:tcBorders>
          </w:tcPr>
          <w:p w:rsidR="00681E29" w:rsidRPr="007937AE" w:rsidRDefault="00681E29" w:rsidP="00A2156D">
            <w:pPr>
              <w:jc w:val="center"/>
              <w:rPr>
                <w:lang w:val="en-US"/>
              </w:rPr>
            </w:pPr>
            <w:r w:rsidRPr="007937AE">
              <w:rPr>
                <w:lang w:val="en-US"/>
              </w:rPr>
              <w:t>308</w:t>
            </w:r>
          </w:p>
        </w:tc>
        <w:tc>
          <w:tcPr>
            <w:tcW w:w="1134" w:type="dxa"/>
            <w:tcBorders>
              <w:left w:val="nil"/>
              <w:bottom w:val="nil"/>
              <w:right w:val="nil"/>
            </w:tcBorders>
          </w:tcPr>
          <w:p w:rsidR="00681E29" w:rsidRPr="007937AE" w:rsidRDefault="00681E29" w:rsidP="00A2156D">
            <w:pPr>
              <w:jc w:val="center"/>
              <w:rPr>
                <w:lang w:val="en-US"/>
              </w:rPr>
            </w:pPr>
            <w:r w:rsidRPr="007937AE">
              <w:rPr>
                <w:lang w:val="en-US"/>
              </w:rPr>
              <w:t>1-536</w:t>
            </w:r>
          </w:p>
        </w:tc>
      </w:tr>
      <w:tr w:rsidR="00681E29" w:rsidRPr="007937AE" w:rsidTr="00A2156D">
        <w:tc>
          <w:tcPr>
            <w:tcW w:w="1668" w:type="dxa"/>
            <w:tcBorders>
              <w:top w:val="nil"/>
              <w:left w:val="nil"/>
              <w:bottom w:val="nil"/>
              <w:right w:val="nil"/>
            </w:tcBorders>
          </w:tcPr>
          <w:p w:rsidR="00681E29" w:rsidRPr="007937AE" w:rsidRDefault="00681E29" w:rsidP="00A2156D">
            <w:pPr>
              <w:rPr>
                <w:lang w:val="en-US"/>
              </w:rPr>
            </w:pPr>
            <w:r w:rsidRPr="007937AE">
              <w:rPr>
                <w:lang w:val="en-US"/>
              </w:rPr>
              <w:t>LMA</w:t>
            </w:r>
          </w:p>
        </w:tc>
        <w:tc>
          <w:tcPr>
            <w:tcW w:w="1275" w:type="dxa"/>
            <w:tcBorders>
              <w:top w:val="nil"/>
              <w:left w:val="nil"/>
              <w:bottom w:val="nil"/>
              <w:right w:val="nil"/>
            </w:tcBorders>
          </w:tcPr>
          <w:p w:rsidR="00681E29" w:rsidRPr="007937AE" w:rsidRDefault="00681E29" w:rsidP="00A2156D">
            <w:pPr>
              <w:jc w:val="center"/>
              <w:rPr>
                <w:lang w:val="en-US"/>
              </w:rPr>
            </w:pPr>
            <w:r w:rsidRPr="007937AE">
              <w:rPr>
                <w:lang w:val="en-US"/>
              </w:rPr>
              <w:t>4.1</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15.9</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0</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0</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28</w:t>
            </w:r>
          </w:p>
        </w:tc>
        <w:tc>
          <w:tcPr>
            <w:tcW w:w="1134" w:type="dxa"/>
            <w:tcBorders>
              <w:top w:val="nil"/>
              <w:left w:val="nil"/>
              <w:bottom w:val="nil"/>
              <w:right w:val="nil"/>
            </w:tcBorders>
          </w:tcPr>
          <w:p w:rsidR="00681E29" w:rsidRPr="007937AE" w:rsidRDefault="00681E29" w:rsidP="00A2156D">
            <w:pPr>
              <w:jc w:val="center"/>
              <w:rPr>
                <w:lang w:val="en-US"/>
              </w:rPr>
            </w:pPr>
            <w:r w:rsidRPr="007937AE">
              <w:rPr>
                <w:lang w:val="en-US"/>
              </w:rPr>
              <w:t>0-99</w:t>
            </w:r>
          </w:p>
        </w:tc>
      </w:tr>
      <w:tr w:rsidR="00681E29" w:rsidRPr="007937AE" w:rsidTr="00A2156D">
        <w:tc>
          <w:tcPr>
            <w:tcW w:w="1668" w:type="dxa"/>
            <w:tcBorders>
              <w:top w:val="nil"/>
              <w:left w:val="nil"/>
              <w:bottom w:val="nil"/>
              <w:right w:val="nil"/>
            </w:tcBorders>
          </w:tcPr>
          <w:p w:rsidR="00681E29" w:rsidRPr="007937AE" w:rsidRDefault="00681E29" w:rsidP="00A2156D">
            <w:pPr>
              <w:rPr>
                <w:lang w:val="en-US"/>
              </w:rPr>
            </w:pPr>
            <w:r w:rsidRPr="007937AE">
              <w:rPr>
                <w:lang w:val="en-US"/>
              </w:rPr>
              <w:t>LAD</w:t>
            </w:r>
          </w:p>
        </w:tc>
        <w:tc>
          <w:tcPr>
            <w:tcW w:w="1275" w:type="dxa"/>
            <w:tcBorders>
              <w:top w:val="nil"/>
              <w:left w:val="nil"/>
              <w:bottom w:val="nil"/>
              <w:right w:val="nil"/>
            </w:tcBorders>
          </w:tcPr>
          <w:p w:rsidR="00681E29" w:rsidRPr="007937AE" w:rsidRDefault="00681E29" w:rsidP="00A2156D">
            <w:pPr>
              <w:jc w:val="center"/>
              <w:rPr>
                <w:lang w:val="en-US"/>
              </w:rPr>
            </w:pPr>
            <w:r w:rsidRPr="007937AE">
              <w:rPr>
                <w:lang w:val="en-US"/>
              </w:rPr>
              <w:t>31.1</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72.8</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3</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22</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219</w:t>
            </w:r>
          </w:p>
        </w:tc>
        <w:tc>
          <w:tcPr>
            <w:tcW w:w="1134" w:type="dxa"/>
            <w:tcBorders>
              <w:top w:val="nil"/>
              <w:left w:val="nil"/>
              <w:bottom w:val="nil"/>
              <w:right w:val="nil"/>
            </w:tcBorders>
          </w:tcPr>
          <w:p w:rsidR="00681E29" w:rsidRPr="007937AE" w:rsidRDefault="00681E29" w:rsidP="00A2156D">
            <w:pPr>
              <w:jc w:val="center"/>
              <w:rPr>
                <w:lang w:val="en-US"/>
              </w:rPr>
            </w:pPr>
            <w:r w:rsidRPr="007937AE">
              <w:rPr>
                <w:lang w:val="en-US"/>
              </w:rPr>
              <w:t>0-439</w:t>
            </w:r>
          </w:p>
        </w:tc>
      </w:tr>
      <w:tr w:rsidR="00681E29" w:rsidRPr="007937AE" w:rsidTr="00A2156D">
        <w:trPr>
          <w:trHeight w:val="70"/>
        </w:trPr>
        <w:tc>
          <w:tcPr>
            <w:tcW w:w="1668" w:type="dxa"/>
            <w:tcBorders>
              <w:top w:val="nil"/>
              <w:left w:val="nil"/>
              <w:bottom w:val="nil"/>
              <w:right w:val="nil"/>
            </w:tcBorders>
          </w:tcPr>
          <w:p w:rsidR="00681E29" w:rsidRPr="007937AE" w:rsidRDefault="00681E29" w:rsidP="00A2156D">
            <w:pPr>
              <w:rPr>
                <w:lang w:val="en-US"/>
              </w:rPr>
            </w:pPr>
            <w:r w:rsidRPr="007937AE">
              <w:rPr>
                <w:lang w:val="en-US"/>
              </w:rPr>
              <w:t>LCX</w:t>
            </w:r>
          </w:p>
        </w:tc>
        <w:tc>
          <w:tcPr>
            <w:tcW w:w="1275" w:type="dxa"/>
            <w:tcBorders>
              <w:top w:val="nil"/>
              <w:left w:val="nil"/>
              <w:bottom w:val="nil"/>
              <w:right w:val="nil"/>
            </w:tcBorders>
          </w:tcPr>
          <w:p w:rsidR="00681E29" w:rsidRPr="007937AE" w:rsidRDefault="00681E29" w:rsidP="00A2156D">
            <w:pPr>
              <w:jc w:val="center"/>
              <w:rPr>
                <w:lang w:val="en-US"/>
              </w:rPr>
            </w:pPr>
            <w:r w:rsidRPr="007937AE">
              <w:rPr>
                <w:lang w:val="en-US"/>
              </w:rPr>
              <w:t>3.4</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11.9</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0</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0</w:t>
            </w:r>
          </w:p>
        </w:tc>
        <w:tc>
          <w:tcPr>
            <w:tcW w:w="1276" w:type="dxa"/>
            <w:tcBorders>
              <w:top w:val="nil"/>
              <w:left w:val="nil"/>
              <w:bottom w:val="nil"/>
              <w:right w:val="nil"/>
            </w:tcBorders>
          </w:tcPr>
          <w:p w:rsidR="00681E29" w:rsidRPr="007937AE" w:rsidRDefault="00681E29" w:rsidP="00A2156D">
            <w:pPr>
              <w:jc w:val="center"/>
              <w:rPr>
                <w:lang w:val="en-US"/>
              </w:rPr>
            </w:pPr>
            <w:r w:rsidRPr="007937AE">
              <w:rPr>
                <w:lang w:val="en-US"/>
              </w:rPr>
              <w:t>14</w:t>
            </w:r>
          </w:p>
        </w:tc>
        <w:tc>
          <w:tcPr>
            <w:tcW w:w="1134" w:type="dxa"/>
            <w:tcBorders>
              <w:top w:val="nil"/>
              <w:left w:val="nil"/>
              <w:bottom w:val="nil"/>
              <w:right w:val="nil"/>
            </w:tcBorders>
          </w:tcPr>
          <w:p w:rsidR="00681E29" w:rsidRPr="007937AE" w:rsidRDefault="00681E29" w:rsidP="00A2156D">
            <w:pPr>
              <w:jc w:val="center"/>
              <w:rPr>
                <w:lang w:val="en-US"/>
              </w:rPr>
            </w:pPr>
            <w:r w:rsidRPr="007937AE">
              <w:rPr>
                <w:lang w:val="en-US"/>
              </w:rPr>
              <w:t>0-75</w:t>
            </w:r>
          </w:p>
        </w:tc>
      </w:tr>
      <w:tr w:rsidR="00681E29" w:rsidRPr="007937AE" w:rsidTr="00A2156D">
        <w:tc>
          <w:tcPr>
            <w:tcW w:w="1668" w:type="dxa"/>
            <w:tcBorders>
              <w:top w:val="nil"/>
              <w:left w:val="nil"/>
              <w:right w:val="nil"/>
            </w:tcBorders>
          </w:tcPr>
          <w:p w:rsidR="00681E29" w:rsidRPr="007937AE" w:rsidRDefault="00681E29" w:rsidP="00A2156D">
            <w:pPr>
              <w:rPr>
                <w:lang w:val="en-US"/>
              </w:rPr>
            </w:pPr>
            <w:r w:rsidRPr="007937AE">
              <w:rPr>
                <w:lang w:val="en-US"/>
              </w:rPr>
              <w:t>RCA</w:t>
            </w:r>
          </w:p>
        </w:tc>
        <w:tc>
          <w:tcPr>
            <w:tcW w:w="1275" w:type="dxa"/>
            <w:tcBorders>
              <w:top w:val="nil"/>
              <w:left w:val="nil"/>
              <w:right w:val="nil"/>
            </w:tcBorders>
          </w:tcPr>
          <w:p w:rsidR="00681E29" w:rsidRPr="007937AE" w:rsidRDefault="00681E29" w:rsidP="00A2156D">
            <w:pPr>
              <w:jc w:val="center"/>
              <w:rPr>
                <w:lang w:val="en-US"/>
              </w:rPr>
            </w:pPr>
            <w:r w:rsidRPr="007937AE">
              <w:rPr>
                <w:lang w:val="en-US"/>
              </w:rPr>
              <w:t>11.5</w:t>
            </w:r>
          </w:p>
        </w:tc>
        <w:tc>
          <w:tcPr>
            <w:tcW w:w="1276" w:type="dxa"/>
            <w:tcBorders>
              <w:top w:val="nil"/>
              <w:left w:val="nil"/>
              <w:right w:val="nil"/>
            </w:tcBorders>
          </w:tcPr>
          <w:p w:rsidR="00681E29" w:rsidRPr="007937AE" w:rsidRDefault="00681E29" w:rsidP="00A2156D">
            <w:pPr>
              <w:jc w:val="center"/>
              <w:rPr>
                <w:lang w:val="en-US"/>
              </w:rPr>
            </w:pPr>
            <w:r w:rsidRPr="007937AE">
              <w:rPr>
                <w:lang w:val="en-US"/>
              </w:rPr>
              <w:t>56.8</w:t>
            </w:r>
          </w:p>
        </w:tc>
        <w:tc>
          <w:tcPr>
            <w:tcW w:w="1276" w:type="dxa"/>
            <w:tcBorders>
              <w:top w:val="nil"/>
              <w:left w:val="nil"/>
              <w:right w:val="nil"/>
            </w:tcBorders>
          </w:tcPr>
          <w:p w:rsidR="00681E29" w:rsidRPr="007937AE" w:rsidRDefault="00681E29" w:rsidP="00A2156D">
            <w:pPr>
              <w:jc w:val="center"/>
              <w:rPr>
                <w:lang w:val="en-US"/>
              </w:rPr>
            </w:pPr>
            <w:r w:rsidRPr="007937AE">
              <w:rPr>
                <w:lang w:val="en-US"/>
              </w:rPr>
              <w:t>0</w:t>
            </w:r>
          </w:p>
        </w:tc>
        <w:tc>
          <w:tcPr>
            <w:tcW w:w="1276" w:type="dxa"/>
            <w:tcBorders>
              <w:top w:val="nil"/>
              <w:left w:val="nil"/>
              <w:right w:val="nil"/>
            </w:tcBorders>
          </w:tcPr>
          <w:p w:rsidR="00681E29" w:rsidRPr="007937AE" w:rsidRDefault="00681E29" w:rsidP="00A2156D">
            <w:pPr>
              <w:jc w:val="center"/>
              <w:rPr>
                <w:lang w:val="en-US"/>
              </w:rPr>
            </w:pPr>
            <w:r w:rsidRPr="007937AE">
              <w:rPr>
                <w:lang w:val="en-US"/>
              </w:rPr>
              <w:t>1</w:t>
            </w:r>
          </w:p>
        </w:tc>
        <w:tc>
          <w:tcPr>
            <w:tcW w:w="1276" w:type="dxa"/>
            <w:tcBorders>
              <w:top w:val="nil"/>
              <w:left w:val="nil"/>
              <w:right w:val="nil"/>
            </w:tcBorders>
          </w:tcPr>
          <w:p w:rsidR="00681E29" w:rsidRPr="007937AE" w:rsidRDefault="00681E29" w:rsidP="00A2156D">
            <w:pPr>
              <w:jc w:val="center"/>
              <w:rPr>
                <w:lang w:val="en-US"/>
              </w:rPr>
            </w:pPr>
            <w:r w:rsidRPr="007937AE">
              <w:rPr>
                <w:lang w:val="en-US"/>
              </w:rPr>
              <w:t>12</w:t>
            </w:r>
          </w:p>
        </w:tc>
        <w:tc>
          <w:tcPr>
            <w:tcW w:w="1134" w:type="dxa"/>
            <w:tcBorders>
              <w:top w:val="nil"/>
              <w:left w:val="nil"/>
              <w:right w:val="nil"/>
            </w:tcBorders>
          </w:tcPr>
          <w:p w:rsidR="00681E29" w:rsidRPr="007937AE" w:rsidRDefault="00681E29" w:rsidP="00A2156D">
            <w:pPr>
              <w:jc w:val="center"/>
              <w:rPr>
                <w:lang w:val="en-US"/>
              </w:rPr>
            </w:pPr>
            <w:r w:rsidRPr="007937AE">
              <w:rPr>
                <w:lang w:val="en-US"/>
              </w:rPr>
              <w:t>0-403</w:t>
            </w:r>
          </w:p>
        </w:tc>
      </w:tr>
    </w:tbl>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rPr>
          <w:lang w:val="en-US"/>
        </w:rPr>
      </w:pPr>
    </w:p>
    <w:p w:rsidR="00681E29" w:rsidRPr="007937AE" w:rsidRDefault="00681E29" w:rsidP="008F4079">
      <w:pPr>
        <w:spacing w:line="480" w:lineRule="auto"/>
        <w:rPr>
          <w:lang w:val="en-US"/>
        </w:rPr>
      </w:pPr>
    </w:p>
    <w:p w:rsidR="00681E29" w:rsidRPr="007937AE" w:rsidRDefault="00681E29" w:rsidP="008F4079">
      <w:pPr>
        <w:spacing w:line="480" w:lineRule="auto"/>
        <w:rPr>
          <w:b/>
          <w:bCs/>
          <w:lang w:val="en-US"/>
        </w:rPr>
      </w:pPr>
      <w:r w:rsidRPr="007937AE">
        <w:rPr>
          <w:lang w:val="en-US"/>
        </w:rPr>
        <w:t>Abbreviations: LAD= left anterior descending artery; LMA= left main artery; LCX= left circumflex artery; RCA= right coronary artery</w:t>
      </w:r>
      <w:r w:rsidRPr="007937AE">
        <w:rPr>
          <w:lang w:val="en-US"/>
        </w:rPr>
        <w:br w:type="page"/>
      </w:r>
      <w:r w:rsidRPr="007937AE">
        <w:rPr>
          <w:lang w:val="en-US"/>
        </w:rPr>
        <w:lastRenderedPageBreak/>
        <w:t xml:space="preserve"> </w:t>
      </w:r>
      <w:r w:rsidRPr="007937AE">
        <w:rPr>
          <w:b/>
          <w:bCs/>
          <w:lang w:val="en-US"/>
        </w:rPr>
        <w:t>SUPPLEMENTARY METHODS</w:t>
      </w:r>
    </w:p>
    <w:p w:rsidR="00681E29" w:rsidRPr="007937AE" w:rsidRDefault="00681E29" w:rsidP="008F4079">
      <w:pPr>
        <w:spacing w:line="480" w:lineRule="auto"/>
        <w:rPr>
          <w:b/>
          <w:bCs/>
          <w:lang w:val="en-US"/>
        </w:rPr>
      </w:pPr>
    </w:p>
    <w:p w:rsidR="00681E29" w:rsidRPr="007937AE" w:rsidRDefault="00681E29" w:rsidP="008F4079">
      <w:pPr>
        <w:spacing w:line="480" w:lineRule="auto"/>
        <w:rPr>
          <w:b/>
          <w:bCs/>
          <w:lang w:val="en-US"/>
        </w:rPr>
      </w:pPr>
      <w:r w:rsidRPr="007937AE">
        <w:rPr>
          <w:b/>
          <w:bCs/>
          <w:lang w:val="en-US"/>
        </w:rPr>
        <w:t>Participants</w:t>
      </w:r>
    </w:p>
    <w:p w:rsidR="00681E29" w:rsidRPr="007937AE" w:rsidRDefault="00681E29" w:rsidP="008F4079">
      <w:pPr>
        <w:spacing w:line="480" w:lineRule="auto"/>
        <w:rPr>
          <w:lang w:val="en-US"/>
        </w:rPr>
      </w:pPr>
      <w:r w:rsidRPr="007937AE">
        <w:rPr>
          <w:lang w:val="en-US"/>
        </w:rPr>
        <w:t>The Cardiovascular Risk in Young Finns Study is an ongoing follow-up study of atherosclerosis risk factors of Finnish children and young adults, which has been performed by five universities. The first cross-sectional survey was conducted in 1980 on 3,596 participants aged 3-18 years.(1) Since then, follow-up surveys for the whole study population have taken place in 1983 and 1986, 2001 and 2007. In 2001, 2283 subjects aged 24-39 years and in 2007</w:t>
      </w:r>
      <w:proofErr w:type="gramStart"/>
      <w:r w:rsidRPr="007937AE">
        <w:rPr>
          <w:lang w:val="en-US"/>
        </w:rPr>
        <w:t>,  2,204</w:t>
      </w:r>
      <w:proofErr w:type="gramEnd"/>
      <w:r w:rsidRPr="007937AE">
        <w:rPr>
          <w:lang w:val="en-US"/>
        </w:rPr>
        <w:t xml:space="preserve"> individuals aged 30-45 years participated.(2) From 1986 to 2001, significant secular trends included an increase in serum triglycerides and BMI, a decrease in blood pressure and HDL-C levels and a slight decrease in total cholesterol levels.(3) Between 2001 and 2007, a significant decrease in total cholesterol and LDL-C levels was observed, while diastolic blood pressure levels increased. In addition, increases in waist circumference, systolic blood pressure and glucose levels as well as HDL-cholesterol levels were seen in some of the age groups.(4) In 2008, a cardiac CT study to measure CAC was conducted for a sub-sample of 589 individuals from the oldest age cohorts, then aged 40-46 years. This was a convenience sample; the three oldest cohorts from 3 </w:t>
      </w:r>
      <w:proofErr w:type="spellStart"/>
      <w:r w:rsidRPr="007937AE">
        <w:rPr>
          <w:lang w:val="en-US"/>
        </w:rPr>
        <w:t>centres</w:t>
      </w:r>
      <w:proofErr w:type="spellEnd"/>
      <w:r w:rsidRPr="007937AE">
        <w:rPr>
          <w:lang w:val="en-US"/>
        </w:rPr>
        <w:t xml:space="preserve"> with a possibility to perform CAC imaging were invited (N=711) and the attendance rate was 80%. Risk factor levels among those who participated and those who did not are shown in Supplementary Table 1. Sixty two participants were on antihypertensive medication, 19 on lipid-lowering medication, 4 used injected insulin for diabetes and 2 were on oral medication for diabetes. No significant difference in results was observed after these participants were excluded from the analyses. Participants gave written informed consent and the study was approved by local ethics committees.</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p>
    <w:p w:rsidR="00681E29" w:rsidRPr="007937AE" w:rsidRDefault="00681E29" w:rsidP="008F4079">
      <w:pPr>
        <w:spacing w:line="480" w:lineRule="auto"/>
        <w:rPr>
          <w:b/>
          <w:bCs/>
          <w:lang w:val="en-US"/>
        </w:rPr>
      </w:pPr>
      <w:r w:rsidRPr="007937AE">
        <w:rPr>
          <w:b/>
          <w:bCs/>
          <w:lang w:val="en-US"/>
        </w:rPr>
        <w:t>Clinical characteristics</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r w:rsidRPr="007937AE">
        <w:rPr>
          <w:lang w:val="en-US"/>
        </w:rPr>
        <w:t>Body mass index (BMI) was calculated as BMI</w:t>
      </w:r>
      <w:r>
        <w:rPr>
          <w:lang w:val="en-US"/>
        </w:rPr>
        <w:t xml:space="preserve"> </w:t>
      </w:r>
      <w:r w:rsidRPr="007937AE">
        <w:rPr>
          <w:lang w:val="en-US"/>
        </w:rPr>
        <w:t>=</w:t>
      </w:r>
      <w:r>
        <w:rPr>
          <w:lang w:val="en-US"/>
        </w:rPr>
        <w:t xml:space="preserve"> </w:t>
      </w:r>
      <w:r w:rsidRPr="007937AE">
        <w:rPr>
          <w:lang w:val="en-US"/>
        </w:rPr>
        <w:t>weight, kg</w:t>
      </w:r>
      <w:proofErr w:type="gramStart"/>
      <w:r w:rsidRPr="007937AE">
        <w:rPr>
          <w:lang w:val="en-US"/>
        </w:rPr>
        <w:t>/(</w:t>
      </w:r>
      <w:proofErr w:type="gramEnd"/>
      <w:r w:rsidRPr="007937AE">
        <w:rPr>
          <w:lang w:val="en-US"/>
        </w:rPr>
        <w:t>height, m)</w:t>
      </w:r>
      <w:r w:rsidRPr="007937AE">
        <w:rPr>
          <w:vertAlign w:val="superscript"/>
          <w:lang w:val="en-US"/>
        </w:rPr>
        <w:t>2</w:t>
      </w:r>
      <w:r w:rsidRPr="007937AE">
        <w:rPr>
          <w:lang w:val="en-US"/>
        </w:rPr>
        <w:t>. Blood pressure (BP) was measured using a standard mercury sphygmomanometer in 1980 and a random zero sphygmomanometer in 2007. The measurements were obtained after 5 minutes of sitting and the average of 3 measurements taken 1-2 minutes apart were used in analyses. Smoking habits were inquired with a questionnaire. Smoking was defined as daily smoking in adolescence and/or in adulthood. In addition, pack years of smoking were calculated as the number of cigarette packs smoked daily multiplied by the duration of daily smoking in years.</w:t>
      </w:r>
    </w:p>
    <w:p w:rsidR="00681E29" w:rsidRPr="007937AE" w:rsidRDefault="00681E29" w:rsidP="008F4079">
      <w:pPr>
        <w:spacing w:line="480" w:lineRule="auto"/>
        <w:rPr>
          <w:lang w:val="en-US"/>
        </w:rPr>
      </w:pPr>
    </w:p>
    <w:p w:rsidR="00681E29" w:rsidRPr="007937AE" w:rsidRDefault="00681E29" w:rsidP="008F4079">
      <w:pPr>
        <w:spacing w:line="480" w:lineRule="auto"/>
        <w:rPr>
          <w:b/>
          <w:bCs/>
          <w:lang w:val="en-US"/>
        </w:rPr>
      </w:pPr>
      <w:r w:rsidRPr="007937AE">
        <w:rPr>
          <w:b/>
          <w:bCs/>
          <w:lang w:val="en-US"/>
        </w:rPr>
        <w:t>Biochemical analyses</w:t>
      </w:r>
      <w:r w:rsidRPr="007937AE">
        <w:rPr>
          <w:b/>
          <w:bCs/>
          <w:lang w:val="en-US"/>
        </w:rPr>
        <w:tab/>
      </w:r>
    </w:p>
    <w:p w:rsidR="00681E29" w:rsidRPr="007937AE" w:rsidRDefault="00681E29" w:rsidP="008F4079">
      <w:pPr>
        <w:spacing w:line="480" w:lineRule="auto"/>
        <w:rPr>
          <w:lang w:val="en-US"/>
        </w:rPr>
      </w:pPr>
    </w:p>
    <w:p w:rsidR="00681E29" w:rsidRPr="007937AE" w:rsidRDefault="00681E29" w:rsidP="008F4079">
      <w:pPr>
        <w:autoSpaceDE w:val="0"/>
        <w:autoSpaceDN w:val="0"/>
        <w:adjustRightInd w:val="0"/>
        <w:spacing w:line="480" w:lineRule="auto"/>
        <w:rPr>
          <w:b/>
          <w:bCs/>
          <w:lang w:val="en-US"/>
        </w:rPr>
      </w:pPr>
      <w:r w:rsidRPr="007937AE">
        <w:rPr>
          <w:lang w:val="en-US"/>
        </w:rPr>
        <w:t xml:space="preserve">Venous blood samples were taken after an overnight fast. Total cholesterol, high-density lipoprotein cholesterol (HDL-C) and triglyceride concentrations were determined enzymatically. </w:t>
      </w:r>
      <w:proofErr w:type="gramStart"/>
      <w:r w:rsidRPr="007937AE">
        <w:rPr>
          <w:lang w:val="en-US"/>
        </w:rPr>
        <w:t>(Roche Diagnostics, GmbH, Mannheim, Germany for HDL; Olympus System Reagent, Hamburg, Germany for total cholesterol and triglyceride) with a clinical chemistry analyzer (Olympus, AU400, Hamburg, Germany).</w:t>
      </w:r>
      <w:proofErr w:type="gramEnd"/>
      <w:r w:rsidRPr="007937AE">
        <w:rPr>
          <w:lang w:val="en-US"/>
        </w:rPr>
        <w:t xml:space="preserve"> Low-density lipoprotein cholesterol (LDL-C) was calculated indirectly using the </w:t>
      </w:r>
      <w:proofErr w:type="spellStart"/>
      <w:r w:rsidRPr="007937AE">
        <w:rPr>
          <w:lang w:val="en-US"/>
        </w:rPr>
        <w:t>Friedewald</w:t>
      </w:r>
      <w:proofErr w:type="spellEnd"/>
      <w:r w:rsidRPr="007937AE">
        <w:rPr>
          <w:lang w:val="en-US"/>
        </w:rPr>
        <w:t xml:space="preserve"> formula. Full details of these methods have been previously described</w:t>
      </w:r>
      <w:proofErr w:type="gramStart"/>
      <w:r w:rsidRPr="007937AE">
        <w:rPr>
          <w:lang w:val="en-US"/>
        </w:rPr>
        <w:t>.(</w:t>
      </w:r>
      <w:proofErr w:type="gramEnd"/>
      <w:r w:rsidRPr="007937AE">
        <w:rPr>
          <w:lang w:val="en-US"/>
        </w:rPr>
        <w:t>4;5) Total cholesterol to HDL-C ratio and triglyceride to HDL-C ratio were calculated by dividing total cholesterol or triglyceride concentration by HDL-C and non-HDL was calculated as total cholesterol-HDL-C. In 1980, serum insulin was measured using a modification of the immunoassay method of Herbert et al.</w:t>
      </w:r>
      <w:r>
        <w:rPr>
          <w:lang w:val="en-US"/>
        </w:rPr>
        <w:t xml:space="preserve"> </w:t>
      </w:r>
      <w:r w:rsidRPr="007937AE">
        <w:rPr>
          <w:lang w:val="en-US"/>
        </w:rPr>
        <w:t>(6)</w:t>
      </w:r>
      <w:r>
        <w:rPr>
          <w:lang w:val="en-US"/>
        </w:rPr>
        <w:t>.</w:t>
      </w:r>
      <w:r w:rsidRPr="007937AE">
        <w:rPr>
          <w:lang w:val="en-US"/>
        </w:rPr>
        <w:t xml:space="preserve"> In 2007, serum insulin concentrations were measured by </w:t>
      </w:r>
      <w:proofErr w:type="spellStart"/>
      <w:r w:rsidRPr="007937AE">
        <w:rPr>
          <w:lang w:val="en-US"/>
        </w:rPr>
        <w:t>microparticle</w:t>
      </w:r>
      <w:proofErr w:type="spellEnd"/>
      <w:r w:rsidRPr="007937AE">
        <w:rPr>
          <w:lang w:val="en-US"/>
        </w:rPr>
        <w:t xml:space="preserve"> enzyme immunoassay kit (coefficient of variation 2.1%) (Abbott Laboratories, Diagnostic Division, </w:t>
      </w:r>
      <w:proofErr w:type="spellStart"/>
      <w:r w:rsidRPr="007937AE">
        <w:rPr>
          <w:lang w:val="en-US"/>
        </w:rPr>
        <w:t>Dainabot</w:t>
      </w:r>
      <w:proofErr w:type="spellEnd"/>
      <w:r w:rsidRPr="007937AE">
        <w:rPr>
          <w:lang w:val="en-US"/>
        </w:rPr>
        <w:t xml:space="preserve">). Serum high-sensitivity C-reactive protein (CRP) was analyzed by an automated analyzer (Olympus AU400) with a latex </w:t>
      </w:r>
      <w:proofErr w:type="spellStart"/>
      <w:r w:rsidRPr="007937AE">
        <w:rPr>
          <w:lang w:val="en-US"/>
        </w:rPr>
        <w:t>turbidimetric</w:t>
      </w:r>
      <w:proofErr w:type="spellEnd"/>
      <w:r w:rsidRPr="007937AE">
        <w:rPr>
          <w:lang w:val="en-US"/>
        </w:rPr>
        <w:t xml:space="preserve"> immunoassay kit (CRP-UL assay, Wako Chemicals, </w:t>
      </w:r>
      <w:smartTag w:uri="urn:schemas-microsoft-com:office:smarttags" w:element="country-region">
        <w:smartTag w:uri="urn:schemas-microsoft-com:office:smarttags" w:element="country-region">
          <w:r w:rsidRPr="007937AE">
            <w:rPr>
              <w:lang w:val="en-US"/>
            </w:rPr>
            <w:t>Neuss</w:t>
          </w:r>
        </w:smartTag>
        <w:r w:rsidRPr="007937AE">
          <w:rPr>
            <w:lang w:val="en-US"/>
          </w:rPr>
          <w:t xml:space="preserve">, </w:t>
        </w:r>
        <w:smartTag w:uri="urn:schemas-microsoft-com:office:smarttags" w:element="country-region">
          <w:r w:rsidRPr="007937AE">
            <w:rPr>
              <w:lang w:val="en-US"/>
            </w:rPr>
            <w:t>Germany</w:t>
          </w:r>
        </w:smartTag>
      </w:smartTag>
      <w:r w:rsidRPr="007937AE">
        <w:rPr>
          <w:lang w:val="en-US"/>
        </w:rPr>
        <w:t xml:space="preserve">). The detection limit reported by the manufacturer for the assay was 0.06 mg/L. </w:t>
      </w:r>
      <w:r w:rsidRPr="007937AE">
        <w:rPr>
          <w:lang w:val="en-US"/>
        </w:rPr>
        <w:lastRenderedPageBreak/>
        <w:t>Adolescence serum samples were taken in 1980 and stored in -20°C. These samples were analyzed in 2005 using the same method as in 2001. During the storage, the samples were not thawed or re-frozen</w:t>
      </w:r>
      <w:proofErr w:type="gramStart"/>
      <w:r w:rsidRPr="007937AE">
        <w:rPr>
          <w:lang w:val="en-US"/>
        </w:rPr>
        <w:t>.(</w:t>
      </w:r>
      <w:proofErr w:type="gramEnd"/>
      <w:r w:rsidRPr="007937AE">
        <w:rPr>
          <w:lang w:val="en-US"/>
        </w:rPr>
        <w:t>7)</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p>
    <w:p w:rsidR="00681E29" w:rsidRPr="007937AE" w:rsidRDefault="00681E29" w:rsidP="008F4079">
      <w:pPr>
        <w:spacing w:line="480" w:lineRule="auto"/>
        <w:rPr>
          <w:b/>
          <w:bCs/>
          <w:lang w:val="en-US"/>
        </w:rPr>
      </w:pPr>
      <w:r w:rsidRPr="007937AE">
        <w:rPr>
          <w:b/>
          <w:bCs/>
          <w:lang w:val="en-US"/>
        </w:rPr>
        <w:t>Coronary Artery Calcium Scoring</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r w:rsidRPr="007937AE">
        <w:rPr>
          <w:lang w:val="en-US"/>
        </w:rPr>
        <w:t xml:space="preserve">CT scans were carried out at 3 study locations: </w:t>
      </w:r>
      <w:smartTag w:uri="urn:schemas-microsoft-com:office:smarttags" w:element="country-region">
        <w:r w:rsidRPr="007937AE">
          <w:rPr>
            <w:lang w:val="en-US"/>
          </w:rPr>
          <w:t>Turku</w:t>
        </w:r>
      </w:smartTag>
      <w:r w:rsidRPr="007937AE">
        <w:rPr>
          <w:lang w:val="en-US"/>
        </w:rPr>
        <w:t xml:space="preserve">, </w:t>
      </w:r>
      <w:smartTag w:uri="urn:schemas-microsoft-com:office:smarttags" w:element="country-region">
        <w:r w:rsidRPr="007937AE">
          <w:rPr>
            <w:lang w:val="en-US"/>
          </w:rPr>
          <w:t>Tampere</w:t>
        </w:r>
      </w:smartTag>
      <w:r w:rsidRPr="007937AE">
        <w:rPr>
          <w:lang w:val="en-US"/>
        </w:rPr>
        <w:t xml:space="preserve"> and </w:t>
      </w:r>
      <w:smartTag w:uri="urn:schemas-microsoft-com:office:smarttags" w:element="country-region">
        <w:r w:rsidRPr="007937AE">
          <w:rPr>
            <w:lang w:val="en-US"/>
          </w:rPr>
          <w:t>Kuopio</w:t>
        </w:r>
      </w:smartTag>
      <w:r w:rsidRPr="007937AE">
        <w:rPr>
          <w:lang w:val="en-US"/>
        </w:rPr>
        <w:t>. The scans were performed with a GE Discovery VCT 64-slice CT/PET device (</w:t>
      </w:r>
      <w:smartTag w:uri="urn:schemas-microsoft-com:office:smarttags" w:element="country-region">
        <w:r w:rsidRPr="007937AE">
          <w:rPr>
            <w:lang w:val="en-US"/>
          </w:rPr>
          <w:t>Turku</w:t>
        </w:r>
      </w:smartTag>
      <w:r w:rsidRPr="007937AE">
        <w:rPr>
          <w:lang w:val="en-US"/>
        </w:rPr>
        <w:t>), a Philips Brilliance 64-slice CT device (</w:t>
      </w:r>
      <w:smartTag w:uri="urn:schemas-microsoft-com:office:smarttags" w:element="country-region">
        <w:r w:rsidRPr="007937AE">
          <w:rPr>
            <w:lang w:val="en-US"/>
          </w:rPr>
          <w:t>Tampere</w:t>
        </w:r>
      </w:smartTag>
      <w:r w:rsidRPr="007937AE">
        <w:rPr>
          <w:lang w:val="en-US"/>
        </w:rPr>
        <w:t xml:space="preserve">) and a Siemens </w:t>
      </w:r>
      <w:proofErr w:type="spellStart"/>
      <w:r w:rsidRPr="007937AE">
        <w:rPr>
          <w:lang w:val="en-US"/>
        </w:rPr>
        <w:t>Somaton</w:t>
      </w:r>
      <w:proofErr w:type="spellEnd"/>
      <w:r w:rsidRPr="007937AE">
        <w:rPr>
          <w:lang w:val="en-US"/>
        </w:rPr>
        <w:t xml:space="preserve"> Sensation 16-slice CT device (</w:t>
      </w:r>
      <w:smartTag w:uri="urn:schemas-microsoft-com:office:smarttags" w:element="country-region">
        <w:r w:rsidRPr="007937AE">
          <w:rPr>
            <w:lang w:val="en-US"/>
          </w:rPr>
          <w:t>Kuopio</w:t>
        </w:r>
      </w:smartTag>
      <w:r w:rsidRPr="007937AE">
        <w:rPr>
          <w:lang w:val="en-US"/>
        </w:rPr>
        <w:t xml:space="preserve">). The field of view included the coronary vessels and was determined after lateral and/or frontal scout images. The axial field of view was set at 22-25 cm and the imaging parameters were as follows: voltage 120 kV, current 200-330 mA, slice thickness 2.5-3 mm. The acquisition time was 6-8 sec and the scan was performed during breath hold using prospective ECG triggering. The images were analyzed by one reader blinded to subjects’ details (O.H.) using the </w:t>
      </w:r>
      <w:proofErr w:type="spellStart"/>
      <w:r w:rsidRPr="007937AE">
        <w:rPr>
          <w:lang w:val="en-US"/>
        </w:rPr>
        <w:t>CareStream</w:t>
      </w:r>
      <w:proofErr w:type="spellEnd"/>
      <w:r w:rsidRPr="007937AE">
        <w:rPr>
          <w:lang w:val="en-US"/>
        </w:rPr>
        <w:t xml:space="preserve"> software (</w:t>
      </w:r>
      <w:smartTag w:uri="urn:schemas-microsoft-com:office:smarttags" w:element="country-region">
        <w:smartTag w:uri="urn:schemas-microsoft-com:office:smarttags" w:element="country-region">
          <w:r w:rsidRPr="007937AE">
            <w:rPr>
              <w:lang w:val="en-US"/>
            </w:rPr>
            <w:t>Rochester</w:t>
          </w:r>
        </w:smartTag>
        <w:r w:rsidRPr="007937AE">
          <w:rPr>
            <w:lang w:val="en-US"/>
          </w:rPr>
          <w:t xml:space="preserve">, </w:t>
        </w:r>
        <w:smartTag w:uri="urn:schemas-microsoft-com:office:smarttags" w:element="country-region">
          <w:r w:rsidRPr="007937AE">
            <w:rPr>
              <w:lang w:val="en-US"/>
            </w:rPr>
            <w:t>NY</w:t>
          </w:r>
        </w:smartTag>
        <w:r w:rsidRPr="007937AE">
          <w:rPr>
            <w:lang w:val="en-US"/>
          </w:rPr>
          <w:t xml:space="preserve">, </w:t>
        </w:r>
        <w:smartTag w:uri="urn:schemas-microsoft-com:office:smarttags" w:element="country-region">
          <w:r w:rsidRPr="007937AE">
            <w:rPr>
              <w:lang w:val="en-US"/>
            </w:rPr>
            <w:t>USA</w:t>
          </w:r>
        </w:smartTag>
      </w:smartTag>
      <w:r w:rsidRPr="007937AE">
        <w:rPr>
          <w:lang w:val="en-US"/>
        </w:rPr>
        <w:t xml:space="preserve">). CAC scores were calculated using the </w:t>
      </w:r>
      <w:proofErr w:type="spellStart"/>
      <w:r w:rsidRPr="007937AE">
        <w:rPr>
          <w:lang w:val="en-US"/>
        </w:rPr>
        <w:t>Agatston</w:t>
      </w:r>
      <w:proofErr w:type="spellEnd"/>
      <w:r w:rsidRPr="007937AE">
        <w:rPr>
          <w:lang w:val="en-US"/>
        </w:rPr>
        <w:t xml:space="preserve"> method for each coronary artery.(8) The coefficient of variation for </w:t>
      </w:r>
      <w:proofErr w:type="spellStart"/>
      <w:r w:rsidRPr="007937AE">
        <w:rPr>
          <w:lang w:val="en-US"/>
        </w:rPr>
        <w:t>intraobserver</w:t>
      </w:r>
      <w:proofErr w:type="spellEnd"/>
      <w:r w:rsidRPr="007937AE">
        <w:rPr>
          <w:lang w:val="en-US"/>
        </w:rPr>
        <w:t xml:space="preserve"> measurements was 4.0 %. Absence of CAC was defined as an </w:t>
      </w:r>
      <w:proofErr w:type="spellStart"/>
      <w:r w:rsidRPr="007937AE">
        <w:rPr>
          <w:lang w:val="en-US"/>
        </w:rPr>
        <w:t>Agatston</w:t>
      </w:r>
      <w:proofErr w:type="spellEnd"/>
      <w:r w:rsidRPr="007937AE">
        <w:rPr>
          <w:lang w:val="en-US"/>
        </w:rPr>
        <w:t xml:space="preserve"> score of 0 and presence of CAC as an </w:t>
      </w:r>
      <w:proofErr w:type="spellStart"/>
      <w:r w:rsidRPr="007937AE">
        <w:rPr>
          <w:lang w:val="en-US"/>
        </w:rPr>
        <w:t>Agatston</w:t>
      </w:r>
      <w:proofErr w:type="spellEnd"/>
      <w:r w:rsidRPr="007937AE">
        <w:rPr>
          <w:lang w:val="en-US"/>
        </w:rPr>
        <w:t xml:space="preserve"> score of 1 or greater.(9) Since different CT devices were used in different study sites, a phantom with deposits of known calcium concentration was also scanned twice using 3 projections at all of the study </w:t>
      </w:r>
      <w:proofErr w:type="spellStart"/>
      <w:r w:rsidRPr="007937AE">
        <w:rPr>
          <w:lang w:val="en-US"/>
        </w:rPr>
        <w:t>centres</w:t>
      </w:r>
      <w:proofErr w:type="spellEnd"/>
      <w:r w:rsidRPr="007937AE">
        <w:rPr>
          <w:lang w:val="en-US"/>
        </w:rPr>
        <w:t xml:space="preserve"> and the calcium scores from these scans were compared. The coefficient of variation between all of the phantom scans was 3.9%.</w:t>
      </w:r>
    </w:p>
    <w:p w:rsidR="00681E29" w:rsidRPr="007937AE" w:rsidRDefault="00681E29" w:rsidP="008F4079">
      <w:pPr>
        <w:spacing w:line="480" w:lineRule="auto"/>
        <w:rPr>
          <w:b/>
          <w:bCs/>
          <w:lang w:val="en-US"/>
        </w:rPr>
      </w:pPr>
    </w:p>
    <w:p w:rsidR="00681E29" w:rsidRPr="007937AE" w:rsidRDefault="00681E29" w:rsidP="008F4079">
      <w:pPr>
        <w:spacing w:line="480" w:lineRule="auto"/>
        <w:rPr>
          <w:b/>
          <w:bCs/>
          <w:lang w:val="en-US"/>
        </w:rPr>
      </w:pPr>
      <w:r w:rsidRPr="007937AE">
        <w:rPr>
          <w:b/>
          <w:bCs/>
          <w:lang w:val="en-US"/>
        </w:rPr>
        <w:t xml:space="preserve">Statistical methods </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r w:rsidRPr="007937AE">
        <w:rPr>
          <w:lang w:val="en-US"/>
        </w:rPr>
        <w:lastRenderedPageBreak/>
        <w:t xml:space="preserve">Logistic regression analysis adjusted for sex and age was used to test how risk factors predict the presence or absence of CAC. A series of multivariable logistic regression models were fitted positing the dichotomous CAC variable (0=absence of CAC, 1=presence of CAC) as the outcome. First, a stepwise multivariable model adjusting for age, sex and all continuous adolescence risk factors was fitted. Second, a multivariable model including sex, age and all significant adolescence variables from the stepwise model (systolic BP and LDL-C) as well as change in risk factor levels between adolescence and adulthood (adult level – adolescence level) for these variables was performed. This model was finally adjusted with adolescence and adulthood levels of BMI, insulin and CRP as well as pack years of smoking. Odds ratios (OR) were standardized for a 1-SD increase in risk factor levels. Spearman correlation coefficients were used to assess associations between adolescence and adulthood risk factor levels and regional CAC scores. Adolescence risk factor variables were available for all 589 participants (587 for lipid variables). Adulthood risk factor variables were available for 569 participants (565 for lipid variables) (i.e. there were 20 individuals with CT scan data who had not participated in the latest adulthood follow-up field clinics). </w:t>
      </w:r>
    </w:p>
    <w:p w:rsidR="00681E29" w:rsidRPr="007937AE" w:rsidRDefault="00681E29" w:rsidP="008F4079">
      <w:pPr>
        <w:spacing w:line="480" w:lineRule="auto"/>
        <w:ind w:firstLine="1304"/>
        <w:rPr>
          <w:lang w:val="en-US"/>
        </w:rPr>
      </w:pPr>
      <w:r w:rsidRPr="007937AE">
        <w:rPr>
          <w:lang w:val="en-US"/>
        </w:rPr>
        <w:t>The combined effect of LDL-C and systolic BP in adulthood versus adolescence on CAC prevalence was studied by dividing the participants into 9 groups according to presence or absence of high levels of LDL-C, systolic BP or both in adolescence and adulthood. High levels of LDL-C and systolic BP were defined as values at or above the age and sex specific 75</w:t>
      </w:r>
      <w:r w:rsidRPr="007937AE">
        <w:rPr>
          <w:vertAlign w:val="superscript"/>
          <w:lang w:val="en-US"/>
        </w:rPr>
        <w:t>th</w:t>
      </w:r>
      <w:r w:rsidRPr="007937AE">
        <w:rPr>
          <w:lang w:val="en-US"/>
        </w:rPr>
        <w:t xml:space="preserve"> and 80</w:t>
      </w:r>
      <w:r w:rsidRPr="007937AE">
        <w:rPr>
          <w:vertAlign w:val="superscript"/>
          <w:lang w:val="en-US"/>
        </w:rPr>
        <w:t>th</w:t>
      </w:r>
      <w:r w:rsidRPr="007937AE">
        <w:rPr>
          <w:lang w:val="en-US"/>
        </w:rPr>
        <w:t xml:space="preserve"> percentile with similar results (data shown for the 75</w:t>
      </w:r>
      <w:r w:rsidRPr="007937AE">
        <w:rPr>
          <w:vertAlign w:val="superscript"/>
          <w:lang w:val="en-US"/>
        </w:rPr>
        <w:t>th</w:t>
      </w:r>
      <w:r w:rsidRPr="007937AE">
        <w:rPr>
          <w:lang w:val="en-US"/>
        </w:rPr>
        <w:t xml:space="preserve"> percentile). The effect of multiple high risk factor levels on prevalence of CAC was studied by a multivariable logistic regression model adjusted for sex and age.</w:t>
      </w:r>
      <w:r w:rsidRPr="007937AE">
        <w:rPr>
          <w:b/>
          <w:bCs/>
          <w:lang w:val="en-US"/>
        </w:rPr>
        <w:t xml:space="preserve"> </w:t>
      </w:r>
      <w:r w:rsidRPr="007937AE">
        <w:rPr>
          <w:lang w:val="en-US"/>
        </w:rPr>
        <w:t xml:space="preserve">A significance level of 0.05 was used for all analyses. The statistical analyses were performed with Statistical Analysis System version 9.2 (SAS Institute Inc., Cary, NC, USA). </w:t>
      </w:r>
    </w:p>
    <w:p w:rsidR="00681E29" w:rsidRPr="007937AE" w:rsidRDefault="00681E29" w:rsidP="008F4079">
      <w:pPr>
        <w:spacing w:line="480" w:lineRule="auto"/>
        <w:rPr>
          <w:lang w:val="en-US"/>
        </w:rPr>
      </w:pPr>
    </w:p>
    <w:p w:rsidR="00681E29" w:rsidRPr="007937AE" w:rsidRDefault="00681E29" w:rsidP="008F4079">
      <w:pPr>
        <w:spacing w:line="480" w:lineRule="auto"/>
        <w:rPr>
          <w:lang w:val="en-US"/>
        </w:rPr>
      </w:pPr>
    </w:p>
    <w:p w:rsidR="00681E29" w:rsidRPr="007937AE" w:rsidRDefault="00681E29" w:rsidP="008F4079">
      <w:pPr>
        <w:spacing w:line="480" w:lineRule="auto"/>
        <w:jc w:val="center"/>
        <w:rPr>
          <w:lang w:val="en-US"/>
        </w:rPr>
      </w:pPr>
      <w:r w:rsidRPr="007937AE">
        <w:rPr>
          <w:lang w:val="en-US"/>
        </w:rPr>
        <w:lastRenderedPageBreak/>
        <w:t>Supplementary Methods Reference List</w:t>
      </w:r>
    </w:p>
    <w:p w:rsidR="00681E29" w:rsidRPr="007937AE" w:rsidRDefault="00681E29" w:rsidP="008F4079">
      <w:pPr>
        <w:spacing w:line="480" w:lineRule="auto"/>
        <w:jc w:val="center"/>
        <w:rPr>
          <w:lang w:val="en-US"/>
        </w:rPr>
      </w:pP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tab/>
        <w:t xml:space="preserve">1. </w:t>
      </w:r>
      <w:r w:rsidRPr="007937AE">
        <w:rPr>
          <w:lang w:val="en-US"/>
        </w:rPr>
        <w:tab/>
      </w:r>
      <w:proofErr w:type="spellStart"/>
      <w:r w:rsidRPr="007937AE">
        <w:rPr>
          <w:lang w:val="en-US"/>
        </w:rPr>
        <w:t>Åkerblom</w:t>
      </w:r>
      <w:proofErr w:type="spellEnd"/>
      <w:r w:rsidRPr="007937AE">
        <w:rPr>
          <w:lang w:val="en-US"/>
        </w:rPr>
        <w:t xml:space="preserve"> HK, </w:t>
      </w:r>
      <w:proofErr w:type="spellStart"/>
      <w:r w:rsidRPr="007937AE">
        <w:rPr>
          <w:lang w:val="en-US"/>
        </w:rPr>
        <w:t>Viikari</w:t>
      </w:r>
      <w:proofErr w:type="spellEnd"/>
      <w:r w:rsidRPr="007937AE">
        <w:rPr>
          <w:lang w:val="en-US"/>
        </w:rPr>
        <w:t xml:space="preserve"> J, </w:t>
      </w:r>
      <w:proofErr w:type="spellStart"/>
      <w:r w:rsidRPr="007937AE">
        <w:rPr>
          <w:lang w:val="en-US"/>
        </w:rPr>
        <w:t>Uhari</w:t>
      </w:r>
      <w:proofErr w:type="spellEnd"/>
      <w:r w:rsidRPr="007937AE">
        <w:rPr>
          <w:lang w:val="en-US"/>
        </w:rPr>
        <w:t xml:space="preserve"> M et al. Atherosclerosis precursors in Finnish children and adolescents. I. General description of the cross-sectional study of 1980, and an account of the children's and families' state of health. </w:t>
      </w:r>
      <w:proofErr w:type="spellStart"/>
      <w:r w:rsidRPr="007937AE">
        <w:rPr>
          <w:lang w:val="en-US"/>
        </w:rPr>
        <w:t>Acta</w:t>
      </w:r>
      <w:proofErr w:type="spellEnd"/>
      <w:r w:rsidRPr="007937AE">
        <w:rPr>
          <w:lang w:val="en-US"/>
        </w:rPr>
        <w:t xml:space="preserve"> </w:t>
      </w:r>
      <w:proofErr w:type="spellStart"/>
      <w:r w:rsidRPr="007937AE">
        <w:rPr>
          <w:lang w:val="en-US"/>
        </w:rPr>
        <w:t>pædiatrica</w:t>
      </w:r>
      <w:proofErr w:type="spellEnd"/>
      <w:r w:rsidRPr="007937AE">
        <w:rPr>
          <w:lang w:val="en-US"/>
        </w:rPr>
        <w:t xml:space="preserve"> </w:t>
      </w:r>
      <w:proofErr w:type="spellStart"/>
      <w:r w:rsidRPr="007937AE">
        <w:rPr>
          <w:lang w:val="en-US"/>
        </w:rPr>
        <w:t>Scandinavica.Supplement</w:t>
      </w:r>
      <w:proofErr w:type="spellEnd"/>
      <w:r w:rsidRPr="007937AE">
        <w:rPr>
          <w:lang w:val="en-US"/>
        </w:rPr>
        <w:t xml:space="preserve"> 1985;49-63.</w:t>
      </w:r>
    </w:p>
    <w:p w:rsidR="00681E29" w:rsidRPr="00C13A32" w:rsidRDefault="00681E29" w:rsidP="008F4079">
      <w:pPr>
        <w:tabs>
          <w:tab w:val="right" w:pos="360"/>
          <w:tab w:val="left" w:pos="540"/>
        </w:tabs>
        <w:spacing w:after="240" w:line="480" w:lineRule="auto"/>
        <w:ind w:left="540" w:hanging="540"/>
        <w:rPr>
          <w:lang w:val="nl-NL"/>
        </w:rPr>
      </w:pPr>
      <w:r w:rsidRPr="007937AE">
        <w:rPr>
          <w:lang w:val="en-US"/>
        </w:rPr>
        <w:tab/>
        <w:t xml:space="preserve">2. </w:t>
      </w:r>
      <w:r w:rsidRPr="007937AE">
        <w:rPr>
          <w:lang w:val="en-US"/>
        </w:rPr>
        <w:tab/>
      </w:r>
      <w:proofErr w:type="spellStart"/>
      <w:r w:rsidRPr="007937AE">
        <w:rPr>
          <w:lang w:val="en-US"/>
        </w:rPr>
        <w:t>Juonala</w:t>
      </w:r>
      <w:proofErr w:type="spellEnd"/>
      <w:r w:rsidRPr="007937AE">
        <w:rPr>
          <w:lang w:val="en-US"/>
        </w:rPr>
        <w:t xml:space="preserve"> M, </w:t>
      </w:r>
      <w:proofErr w:type="spellStart"/>
      <w:r w:rsidRPr="007937AE">
        <w:rPr>
          <w:lang w:val="en-US"/>
        </w:rPr>
        <w:t>Viikari</w:t>
      </w:r>
      <w:proofErr w:type="spellEnd"/>
      <w:r w:rsidRPr="007937AE">
        <w:rPr>
          <w:lang w:val="en-US"/>
        </w:rPr>
        <w:t xml:space="preserve"> JSA, </w:t>
      </w:r>
      <w:proofErr w:type="spellStart"/>
      <w:r w:rsidRPr="007937AE">
        <w:rPr>
          <w:lang w:val="en-US"/>
        </w:rPr>
        <w:t>Kähönen</w:t>
      </w:r>
      <w:proofErr w:type="spellEnd"/>
      <w:r w:rsidRPr="007937AE">
        <w:rPr>
          <w:lang w:val="en-US"/>
        </w:rPr>
        <w:t xml:space="preserve"> M et al. Life-time risk factors and progression of carotid atherosclerosis in young adults: the Cardiovascular Risk in Young Finns study. </w:t>
      </w:r>
      <w:r w:rsidR="006D6120" w:rsidRPr="006D6120">
        <w:rPr>
          <w:lang w:val="nl-NL"/>
        </w:rPr>
        <w:t>European Heart Journal 2010;1745-51.</w:t>
      </w:r>
    </w:p>
    <w:p w:rsidR="00681E29" w:rsidRPr="007937AE" w:rsidRDefault="006D6120" w:rsidP="008F4079">
      <w:pPr>
        <w:tabs>
          <w:tab w:val="right" w:pos="360"/>
          <w:tab w:val="left" w:pos="540"/>
        </w:tabs>
        <w:spacing w:after="240" w:line="480" w:lineRule="auto"/>
        <w:ind w:left="540" w:hanging="540"/>
        <w:rPr>
          <w:lang w:val="en-US"/>
        </w:rPr>
      </w:pPr>
      <w:r w:rsidRPr="006D6120">
        <w:rPr>
          <w:lang w:val="nl-NL"/>
        </w:rPr>
        <w:tab/>
        <w:t xml:space="preserve">3. </w:t>
      </w:r>
      <w:r w:rsidRPr="006D6120">
        <w:rPr>
          <w:lang w:val="nl-NL"/>
        </w:rPr>
        <w:tab/>
        <w:t xml:space="preserve">Juonala M, Viikari JSA, Hutri-Kähönen N et al. </w:t>
      </w:r>
      <w:r w:rsidR="00681E29" w:rsidRPr="007937AE">
        <w:rPr>
          <w:lang w:val="en-US"/>
        </w:rPr>
        <w:t>The 21-year follow-up of the Cardiovascular Risk in Young Finns Study: risk factor levels, secular trends and east-west difference. Journal of internal medicine 2004;457-68.</w:t>
      </w: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tab/>
        <w:t xml:space="preserve">4. </w:t>
      </w:r>
      <w:r w:rsidRPr="007937AE">
        <w:rPr>
          <w:lang w:val="en-US"/>
        </w:rPr>
        <w:tab/>
      </w:r>
      <w:proofErr w:type="spellStart"/>
      <w:r w:rsidRPr="007937AE">
        <w:rPr>
          <w:lang w:val="en-US"/>
        </w:rPr>
        <w:t>Raiko</w:t>
      </w:r>
      <w:proofErr w:type="spellEnd"/>
      <w:r w:rsidRPr="007937AE">
        <w:rPr>
          <w:lang w:val="en-US"/>
        </w:rPr>
        <w:t xml:space="preserve"> JRH, </w:t>
      </w:r>
      <w:proofErr w:type="spellStart"/>
      <w:r w:rsidRPr="007937AE">
        <w:rPr>
          <w:lang w:val="en-US"/>
        </w:rPr>
        <w:t>Viikari</w:t>
      </w:r>
      <w:proofErr w:type="spellEnd"/>
      <w:r w:rsidRPr="007937AE">
        <w:rPr>
          <w:lang w:val="en-US"/>
        </w:rPr>
        <w:t xml:space="preserve"> JSA, </w:t>
      </w:r>
      <w:proofErr w:type="spellStart"/>
      <w:r w:rsidRPr="007937AE">
        <w:rPr>
          <w:lang w:val="en-US"/>
        </w:rPr>
        <w:t>Ilmanen</w:t>
      </w:r>
      <w:proofErr w:type="spellEnd"/>
      <w:r w:rsidRPr="007937AE">
        <w:rPr>
          <w:lang w:val="en-US"/>
        </w:rPr>
        <w:t xml:space="preserve"> A et al. Follow-ups of the Cardiovascular Risk in Young Finns Study in 2001 and 2007: levels and 6-year changes in risk factors. Journal of internal medicine 2010;370-84.</w:t>
      </w: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tab/>
        <w:t xml:space="preserve">5. </w:t>
      </w:r>
      <w:r w:rsidRPr="007937AE">
        <w:rPr>
          <w:lang w:val="en-US"/>
        </w:rPr>
        <w:tab/>
      </w:r>
      <w:proofErr w:type="spellStart"/>
      <w:r w:rsidRPr="007937AE">
        <w:rPr>
          <w:lang w:val="en-US"/>
        </w:rPr>
        <w:t>Raitakari</w:t>
      </w:r>
      <w:proofErr w:type="spellEnd"/>
      <w:r w:rsidRPr="007937AE">
        <w:rPr>
          <w:lang w:val="en-US"/>
        </w:rPr>
        <w:t xml:space="preserve"> O, </w:t>
      </w:r>
      <w:proofErr w:type="spellStart"/>
      <w:r w:rsidRPr="007937AE">
        <w:rPr>
          <w:lang w:val="en-US"/>
        </w:rPr>
        <w:t>Juonala</w:t>
      </w:r>
      <w:proofErr w:type="spellEnd"/>
      <w:r w:rsidRPr="007937AE">
        <w:rPr>
          <w:lang w:val="en-US"/>
        </w:rPr>
        <w:t xml:space="preserve"> M, </w:t>
      </w:r>
      <w:proofErr w:type="spellStart"/>
      <w:r w:rsidRPr="007937AE">
        <w:rPr>
          <w:lang w:val="en-US"/>
        </w:rPr>
        <w:t>Rönnemaa</w:t>
      </w:r>
      <w:proofErr w:type="spellEnd"/>
      <w:r w:rsidRPr="007937AE">
        <w:rPr>
          <w:lang w:val="en-US"/>
        </w:rPr>
        <w:t xml:space="preserve"> T et al. Cohort profile: the cardiovascular risk in Young Finns Study. International journal of epidemiology 2008;1220-6.</w:t>
      </w: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tab/>
        <w:t xml:space="preserve">6. </w:t>
      </w:r>
      <w:r w:rsidRPr="007937AE">
        <w:rPr>
          <w:lang w:val="en-US"/>
        </w:rPr>
        <w:tab/>
        <w:t xml:space="preserve">Herbert V, Lau KS, Gottlieb CW, </w:t>
      </w:r>
      <w:proofErr w:type="spellStart"/>
      <w:r w:rsidRPr="007937AE">
        <w:rPr>
          <w:lang w:val="en-US"/>
        </w:rPr>
        <w:t>Bleicher</w:t>
      </w:r>
      <w:proofErr w:type="spellEnd"/>
      <w:r w:rsidRPr="007937AE">
        <w:rPr>
          <w:lang w:val="en-US"/>
        </w:rPr>
        <w:t xml:space="preserve"> SJ. Coated charcoal immunoassay of insulin. The Journal of clinical endocrinology and metabolism 1965;1375-84.</w:t>
      </w: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tab/>
        <w:t xml:space="preserve">7. </w:t>
      </w:r>
      <w:r w:rsidRPr="007937AE">
        <w:rPr>
          <w:lang w:val="en-US"/>
        </w:rPr>
        <w:tab/>
      </w:r>
      <w:proofErr w:type="spellStart"/>
      <w:r w:rsidRPr="007937AE">
        <w:rPr>
          <w:lang w:val="en-US"/>
        </w:rPr>
        <w:t>Juonala</w:t>
      </w:r>
      <w:proofErr w:type="spellEnd"/>
      <w:r w:rsidRPr="007937AE">
        <w:rPr>
          <w:lang w:val="en-US"/>
        </w:rPr>
        <w:t xml:space="preserve"> M, </w:t>
      </w:r>
      <w:proofErr w:type="spellStart"/>
      <w:r w:rsidRPr="007937AE">
        <w:rPr>
          <w:lang w:val="en-US"/>
        </w:rPr>
        <w:t>Viikari</w:t>
      </w:r>
      <w:proofErr w:type="spellEnd"/>
      <w:r w:rsidRPr="007937AE">
        <w:rPr>
          <w:lang w:val="en-US"/>
        </w:rPr>
        <w:t xml:space="preserve"> JSA, </w:t>
      </w:r>
      <w:proofErr w:type="spellStart"/>
      <w:r w:rsidRPr="007937AE">
        <w:rPr>
          <w:lang w:val="en-US"/>
        </w:rPr>
        <w:t>Rönnemaa</w:t>
      </w:r>
      <w:proofErr w:type="spellEnd"/>
      <w:r w:rsidRPr="007937AE">
        <w:rPr>
          <w:lang w:val="en-US"/>
        </w:rPr>
        <w:t xml:space="preserve"> T, </w:t>
      </w:r>
      <w:proofErr w:type="spellStart"/>
      <w:r w:rsidRPr="007937AE">
        <w:rPr>
          <w:lang w:val="en-US"/>
        </w:rPr>
        <w:t>Taittonen</w:t>
      </w:r>
      <w:proofErr w:type="spellEnd"/>
      <w:r w:rsidRPr="007937AE">
        <w:rPr>
          <w:lang w:val="en-US"/>
        </w:rPr>
        <w:t xml:space="preserve"> L, </w:t>
      </w:r>
      <w:proofErr w:type="spellStart"/>
      <w:r w:rsidRPr="007937AE">
        <w:rPr>
          <w:lang w:val="en-US"/>
        </w:rPr>
        <w:t>Marniemi</w:t>
      </w:r>
      <w:proofErr w:type="spellEnd"/>
      <w:r w:rsidRPr="007937AE">
        <w:rPr>
          <w:lang w:val="en-US"/>
        </w:rPr>
        <w:t xml:space="preserve"> J, </w:t>
      </w:r>
      <w:proofErr w:type="spellStart"/>
      <w:r w:rsidRPr="007937AE">
        <w:rPr>
          <w:lang w:val="en-US"/>
        </w:rPr>
        <w:t>Raitakari</w:t>
      </w:r>
      <w:proofErr w:type="spellEnd"/>
      <w:r w:rsidRPr="007937AE">
        <w:rPr>
          <w:lang w:val="en-US"/>
        </w:rPr>
        <w:t xml:space="preserve"> O. Childhood C-reactive protein in predicting CRP and carotid intima-media thickness in adulthood: the Cardiovascular Risk in Young Finns Study. ATVB 2006;1883-8.</w:t>
      </w:r>
    </w:p>
    <w:p w:rsidR="00681E29" w:rsidRPr="007937AE" w:rsidRDefault="00681E29" w:rsidP="008F4079">
      <w:pPr>
        <w:tabs>
          <w:tab w:val="right" w:pos="360"/>
          <w:tab w:val="left" w:pos="540"/>
        </w:tabs>
        <w:spacing w:after="240" w:line="480" w:lineRule="auto"/>
        <w:ind w:left="540" w:hanging="540"/>
        <w:rPr>
          <w:lang w:val="en-US"/>
        </w:rPr>
      </w:pPr>
      <w:r w:rsidRPr="007937AE">
        <w:rPr>
          <w:lang w:val="en-US"/>
        </w:rPr>
        <w:lastRenderedPageBreak/>
        <w:tab/>
        <w:t xml:space="preserve">8. </w:t>
      </w:r>
      <w:r w:rsidRPr="007937AE">
        <w:rPr>
          <w:lang w:val="en-US"/>
        </w:rPr>
        <w:tab/>
      </w:r>
      <w:proofErr w:type="spellStart"/>
      <w:r w:rsidRPr="007937AE">
        <w:rPr>
          <w:lang w:val="en-US"/>
        </w:rPr>
        <w:t>Agatston</w:t>
      </w:r>
      <w:proofErr w:type="spellEnd"/>
      <w:r w:rsidRPr="007937AE">
        <w:rPr>
          <w:lang w:val="en-US"/>
        </w:rPr>
        <w:t xml:space="preserve"> AS, </w:t>
      </w:r>
      <w:proofErr w:type="spellStart"/>
      <w:r w:rsidRPr="007937AE">
        <w:rPr>
          <w:lang w:val="en-US"/>
        </w:rPr>
        <w:t>Janowitz</w:t>
      </w:r>
      <w:proofErr w:type="spellEnd"/>
      <w:r w:rsidRPr="007937AE">
        <w:rPr>
          <w:lang w:val="en-US"/>
        </w:rPr>
        <w:t xml:space="preserve"> WR, </w:t>
      </w:r>
      <w:proofErr w:type="spellStart"/>
      <w:r w:rsidRPr="007937AE">
        <w:rPr>
          <w:lang w:val="en-US"/>
        </w:rPr>
        <w:t>Hildner</w:t>
      </w:r>
      <w:proofErr w:type="spellEnd"/>
      <w:r w:rsidRPr="007937AE">
        <w:rPr>
          <w:lang w:val="en-US"/>
        </w:rPr>
        <w:t xml:space="preserve"> FJ, </w:t>
      </w:r>
      <w:proofErr w:type="spellStart"/>
      <w:r w:rsidRPr="007937AE">
        <w:rPr>
          <w:lang w:val="en-US"/>
        </w:rPr>
        <w:t>Zusmer</w:t>
      </w:r>
      <w:proofErr w:type="spellEnd"/>
      <w:r w:rsidRPr="007937AE">
        <w:rPr>
          <w:lang w:val="en-US"/>
        </w:rPr>
        <w:t xml:space="preserve"> NR, </w:t>
      </w:r>
      <w:proofErr w:type="spellStart"/>
      <w:r w:rsidRPr="007937AE">
        <w:rPr>
          <w:lang w:val="en-US"/>
        </w:rPr>
        <w:t>Viamonte</w:t>
      </w:r>
      <w:proofErr w:type="spellEnd"/>
      <w:r w:rsidRPr="007937AE">
        <w:rPr>
          <w:lang w:val="en-US"/>
        </w:rPr>
        <w:t xml:space="preserve"> M, </w:t>
      </w:r>
      <w:proofErr w:type="spellStart"/>
      <w:r w:rsidRPr="007937AE">
        <w:rPr>
          <w:lang w:val="en-US"/>
        </w:rPr>
        <w:t>Detrano</w:t>
      </w:r>
      <w:proofErr w:type="spellEnd"/>
      <w:r w:rsidRPr="007937AE">
        <w:rPr>
          <w:lang w:val="en-US"/>
        </w:rPr>
        <w:t xml:space="preserve"> R. Quantification of coronary artery calcium using ultrafast computed tomography. J Am </w:t>
      </w:r>
      <w:proofErr w:type="spellStart"/>
      <w:r w:rsidRPr="007937AE">
        <w:rPr>
          <w:lang w:val="en-US"/>
        </w:rPr>
        <w:t>Coll</w:t>
      </w:r>
      <w:proofErr w:type="spellEnd"/>
      <w:r w:rsidRPr="007937AE">
        <w:rPr>
          <w:lang w:val="en-US"/>
        </w:rPr>
        <w:t xml:space="preserve"> </w:t>
      </w:r>
      <w:proofErr w:type="spellStart"/>
      <w:r w:rsidRPr="007937AE">
        <w:rPr>
          <w:lang w:val="en-US"/>
        </w:rPr>
        <w:t>Cardiol</w:t>
      </w:r>
      <w:proofErr w:type="spellEnd"/>
      <w:r w:rsidRPr="007937AE">
        <w:rPr>
          <w:lang w:val="en-US"/>
        </w:rPr>
        <w:t xml:space="preserve"> 1990;15:827-2.</w:t>
      </w:r>
    </w:p>
    <w:p w:rsidR="00681E29" w:rsidRPr="007937AE" w:rsidRDefault="00681E29" w:rsidP="008F4079">
      <w:pPr>
        <w:tabs>
          <w:tab w:val="right" w:pos="360"/>
          <w:tab w:val="left" w:pos="540"/>
        </w:tabs>
        <w:spacing w:line="480" w:lineRule="auto"/>
        <w:ind w:left="540" w:hanging="540"/>
        <w:rPr>
          <w:lang w:val="en-US"/>
        </w:rPr>
      </w:pPr>
      <w:r w:rsidRPr="007937AE">
        <w:rPr>
          <w:lang w:val="en-US"/>
        </w:rPr>
        <w:tab/>
        <w:t xml:space="preserve">9. </w:t>
      </w:r>
      <w:r w:rsidRPr="007937AE">
        <w:rPr>
          <w:lang w:val="en-US"/>
        </w:rPr>
        <w:tab/>
      </w:r>
      <w:proofErr w:type="spellStart"/>
      <w:r w:rsidRPr="007937AE">
        <w:rPr>
          <w:lang w:val="en-US"/>
        </w:rPr>
        <w:t>Loria</w:t>
      </w:r>
      <w:proofErr w:type="spellEnd"/>
      <w:r w:rsidRPr="007937AE">
        <w:rPr>
          <w:lang w:val="en-US"/>
        </w:rPr>
        <w:t xml:space="preserve"> C, Liu K, Lewis C et al. Early adult risk factor levels and subsequent coronary artery calcification: the CARDIA Study. J Am </w:t>
      </w:r>
      <w:proofErr w:type="spellStart"/>
      <w:r w:rsidRPr="007937AE">
        <w:rPr>
          <w:lang w:val="en-US"/>
        </w:rPr>
        <w:t>Coll</w:t>
      </w:r>
      <w:proofErr w:type="spellEnd"/>
      <w:r w:rsidRPr="007937AE">
        <w:rPr>
          <w:lang w:val="en-US"/>
        </w:rPr>
        <w:t xml:space="preserve"> </w:t>
      </w:r>
      <w:proofErr w:type="spellStart"/>
      <w:r w:rsidRPr="007937AE">
        <w:rPr>
          <w:lang w:val="en-US"/>
        </w:rPr>
        <w:t>Cardiol</w:t>
      </w:r>
      <w:proofErr w:type="spellEnd"/>
      <w:r w:rsidRPr="007937AE">
        <w:rPr>
          <w:lang w:val="en-US"/>
        </w:rPr>
        <w:t xml:space="preserve"> 2007;2013-20.</w:t>
      </w:r>
    </w:p>
    <w:p w:rsidR="00681E29" w:rsidRPr="007937AE" w:rsidRDefault="00681E29" w:rsidP="008F4079">
      <w:pPr>
        <w:tabs>
          <w:tab w:val="right" w:pos="360"/>
          <w:tab w:val="left" w:pos="540"/>
        </w:tabs>
        <w:spacing w:line="480" w:lineRule="auto"/>
        <w:ind w:left="540" w:hanging="540"/>
        <w:rPr>
          <w:lang w:val="en-US"/>
        </w:rPr>
      </w:pPr>
    </w:p>
    <w:p w:rsidR="00681E29" w:rsidRPr="007937AE" w:rsidRDefault="00681E29">
      <w:pPr>
        <w:rPr>
          <w:lang w:val="en-US"/>
        </w:rPr>
      </w:pPr>
    </w:p>
    <w:sectPr w:rsidR="00681E29" w:rsidRPr="007937AE" w:rsidSect="004F71E3">
      <w:pgSz w:w="11906" w:h="16838"/>
      <w:pgMar w:top="1417" w:right="1134" w:bottom="141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F4079"/>
    <w:rsid w:val="000748E4"/>
    <w:rsid w:val="0008222C"/>
    <w:rsid w:val="002567EE"/>
    <w:rsid w:val="004209B3"/>
    <w:rsid w:val="004F71E3"/>
    <w:rsid w:val="00681E29"/>
    <w:rsid w:val="006D6120"/>
    <w:rsid w:val="007937AE"/>
    <w:rsid w:val="008F4079"/>
    <w:rsid w:val="00A2156D"/>
    <w:rsid w:val="00A57587"/>
    <w:rsid w:val="00B730CB"/>
    <w:rsid w:val="00B928AE"/>
    <w:rsid w:val="00C13A32"/>
    <w:rsid w:val="00C7225F"/>
    <w:rsid w:val="00E05EC6"/>
    <w:rsid w:val="00EB5E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079"/>
    <w:rPr>
      <w:rFonts w:ascii="Times New Roman" w:hAnsi="Times New Roman"/>
      <w:sz w:val="24"/>
      <w:szCs w:val="24"/>
      <w:lang w:val="fi-FI"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937AE"/>
    <w:rPr>
      <w:rFonts w:ascii="Tahoma" w:hAnsi="Tahoma" w:cs="Tahoma"/>
      <w:sz w:val="16"/>
      <w:szCs w:val="16"/>
    </w:rPr>
  </w:style>
  <w:style w:type="character" w:customStyle="1" w:styleId="BalloonTextChar">
    <w:name w:val="Balloon Text Char"/>
    <w:basedOn w:val="DefaultParagraphFont"/>
    <w:link w:val="BalloonText"/>
    <w:uiPriority w:val="99"/>
    <w:semiHidden/>
    <w:rsid w:val="00D01AC0"/>
    <w:rPr>
      <w:rFonts w:ascii="Times New Roman" w:hAnsi="Times New Roman"/>
      <w:sz w:val="0"/>
      <w:szCs w:val="0"/>
      <w:lang w:val="fi-FI" w:eastAsia="fi-F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079"/>
    <w:rPr>
      <w:rFonts w:ascii="Times New Roman" w:hAnsi="Times New Roman"/>
      <w:sz w:val="24"/>
      <w:szCs w:val="24"/>
      <w:lang w:val="fi-FI"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937AE"/>
    <w:rPr>
      <w:rFonts w:ascii="Tahoma" w:hAnsi="Tahoma" w:cs="Tahoma"/>
      <w:sz w:val="16"/>
      <w:szCs w:val="16"/>
    </w:rPr>
  </w:style>
  <w:style w:type="character" w:customStyle="1" w:styleId="BalloonTextChar">
    <w:name w:val="Balloon Text Char"/>
    <w:basedOn w:val="DefaultParagraphFont"/>
    <w:link w:val="BalloonText"/>
    <w:uiPriority w:val="99"/>
    <w:semiHidden/>
    <w:rsid w:val="00D01AC0"/>
    <w:rPr>
      <w:rFonts w:ascii="Times New Roman" w:hAnsi="Times New Roman"/>
      <w:sz w:val="0"/>
      <w:szCs w:val="0"/>
      <w:lang w:val="fi-FI" w:eastAsia="fi-F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1693</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Online Appendix for the following JACC article</vt:lpstr>
    </vt:vector>
  </TitlesOfParts>
  <Company>Reed Elsevier</Company>
  <LinksUpToDate>false</LinksUpToDate>
  <CharactersWithSpaces>11327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Appendix for the following JACC article</dc:title>
  <dc:creator>Brittany Farmer</dc:creator>
  <cp:lastModifiedBy>Reed Elsevier</cp:lastModifiedBy>
  <cp:revision>2</cp:revision>
  <dcterms:created xsi:type="dcterms:W3CDTF">2012-08-14T02:05:00Z</dcterms:created>
  <dcterms:modified xsi:type="dcterms:W3CDTF">2012-08-14T02:05:00Z</dcterms:modified>
</cp:coreProperties>
</file>